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BB" w:rsidRDefault="001C7FBB" w:rsidP="001C7FBB"/>
    <w:p w:rsidR="001C7FBB" w:rsidRDefault="00E95C47" w:rsidP="001C7FBB">
      <w:r>
        <w:rPr>
          <w:noProof/>
          <w:lang w:eastAsia="en-GB"/>
        </w:rPr>
        <w:drawing>
          <wp:inline distT="0" distB="0" distL="0" distR="0" wp14:anchorId="3092CF1F" wp14:editId="0B20B7F3">
            <wp:extent cx="1320013" cy="1714500"/>
            <wp:effectExtent l="0" t="0" r="0" b="0"/>
            <wp:docPr id="2" name="Picture 2" descr="P:\Logos\Chamber\Chamb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Chamber\Chamber 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013" cy="1714500"/>
                    </a:xfrm>
                    <a:prstGeom prst="rect">
                      <a:avLst/>
                    </a:prstGeom>
                    <a:noFill/>
                    <a:ln>
                      <a:noFill/>
                    </a:ln>
                  </pic:spPr>
                </pic:pic>
              </a:graphicData>
            </a:graphic>
          </wp:inline>
        </w:drawing>
      </w:r>
    </w:p>
    <w:p w:rsidR="00E53444" w:rsidRDefault="00E53444" w:rsidP="001C7FBB"/>
    <w:p w:rsidR="001C7FBB" w:rsidRDefault="001C7FBB" w:rsidP="001C7FBB"/>
    <w:p w:rsidR="001C7FBB" w:rsidRDefault="001C7FBB" w:rsidP="001C7FBB"/>
    <w:p w:rsidR="001C7FBB" w:rsidRPr="00E53444" w:rsidRDefault="001C7FBB" w:rsidP="001C7FBB">
      <w:pPr>
        <w:rPr>
          <w:b/>
          <w:color w:val="FF0000"/>
          <w:sz w:val="36"/>
          <w:szCs w:val="36"/>
        </w:rPr>
      </w:pPr>
    </w:p>
    <w:p w:rsidR="001C7FBB" w:rsidRDefault="001C7FBB" w:rsidP="001C7FBB"/>
    <w:p w:rsidR="001C7FBB" w:rsidRDefault="001C7FBB" w:rsidP="001C7FBB"/>
    <w:p w:rsidR="001C7FBB" w:rsidRDefault="001C7FBB" w:rsidP="001C7FBB"/>
    <w:p w:rsidR="001C7FBB" w:rsidRDefault="00E51202" w:rsidP="001C7FBB">
      <w:r w:rsidRPr="001C7FBB">
        <w:rPr>
          <w:rFonts w:ascii="Arial" w:hAnsi="Arial" w:cs="Arial"/>
          <w:noProof/>
          <w:lang w:eastAsia="en-GB"/>
        </w:rPr>
        <w:drawing>
          <wp:anchor distT="0" distB="0" distL="114300" distR="114300" simplePos="0" relativeHeight="251659264" behindDoc="0" locked="0" layoutInCell="1" allowOverlap="1">
            <wp:simplePos x="0" y="0"/>
            <wp:positionH relativeFrom="column">
              <wp:posOffset>87521</wp:posOffset>
            </wp:positionH>
            <wp:positionV relativeFrom="paragraph">
              <wp:posOffset>157480</wp:posOffset>
            </wp:positionV>
            <wp:extent cx="3029585" cy="6051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9585" cy="605155"/>
                    </a:xfrm>
                    <a:prstGeom prst="rect">
                      <a:avLst/>
                    </a:prstGeom>
                  </pic:spPr>
                </pic:pic>
              </a:graphicData>
            </a:graphic>
          </wp:anchor>
        </w:drawing>
      </w:r>
    </w:p>
    <w:p w:rsidR="001C7FBB" w:rsidRDefault="001C7FBB" w:rsidP="001C7FBB"/>
    <w:p w:rsidR="001C7FBB" w:rsidRDefault="001C7FBB" w:rsidP="001C7FBB"/>
    <w:p w:rsidR="001C7FBB" w:rsidRDefault="001C7FBB" w:rsidP="001C7FBB"/>
    <w:p w:rsidR="001C7FBB" w:rsidRDefault="001C7FBB" w:rsidP="001C7FBB"/>
    <w:p w:rsidR="001C7FBB" w:rsidRDefault="001C7FBB" w:rsidP="001C7FBB"/>
    <w:p w:rsidR="001C7FBB" w:rsidRDefault="001C7FBB" w:rsidP="001C7FBB"/>
    <w:p w:rsidR="001C7FBB" w:rsidRDefault="001C7FBB" w:rsidP="001C7FBB"/>
    <w:p w:rsidR="001C7FBB" w:rsidRDefault="001C7FBB" w:rsidP="001C7FBB"/>
    <w:p w:rsidR="001C7FBB" w:rsidRDefault="001C7FBB" w:rsidP="001C7FBB"/>
    <w:p w:rsidR="000011CF" w:rsidRPr="00F73C3A" w:rsidRDefault="00612905" w:rsidP="00081966">
      <w:pPr>
        <w:pStyle w:val="Title"/>
        <w:jc w:val="center"/>
        <w:rPr>
          <w:rFonts w:ascii="Calibri" w:hAnsi="Calibri"/>
          <w:b/>
          <w:color w:val="262626" w:themeColor="text1" w:themeTint="D9"/>
        </w:rPr>
      </w:pPr>
      <w:r w:rsidRPr="00F73C3A">
        <w:rPr>
          <w:rFonts w:ascii="Calibri" w:hAnsi="Calibri"/>
          <w:b/>
          <w:color w:val="262626" w:themeColor="text1" w:themeTint="D9"/>
        </w:rPr>
        <w:t>CUMBRIA GROWTH FUND</w:t>
      </w:r>
      <w:r w:rsidR="00C404DD" w:rsidRPr="00F73C3A">
        <w:rPr>
          <w:rFonts w:ascii="Calibri" w:hAnsi="Calibri"/>
          <w:b/>
          <w:color w:val="262626" w:themeColor="text1" w:themeTint="D9"/>
        </w:rPr>
        <w:t xml:space="preserve"> </w:t>
      </w:r>
      <w:r w:rsidR="00CE10B2" w:rsidRPr="00F73C3A">
        <w:rPr>
          <w:rFonts w:ascii="Calibri" w:hAnsi="Calibri"/>
          <w:b/>
          <w:color w:val="262626" w:themeColor="text1" w:themeTint="D9"/>
        </w:rPr>
        <w:t>RGF PROGRAMME</w:t>
      </w:r>
    </w:p>
    <w:p w:rsidR="000011CF" w:rsidRPr="00F73C3A" w:rsidRDefault="000011CF" w:rsidP="001C7FBB">
      <w:pPr>
        <w:spacing w:after="0"/>
        <w:jc w:val="center"/>
        <w:rPr>
          <w:rFonts w:ascii="Calibri" w:hAnsi="Calibri" w:cs="Arial"/>
          <w:color w:val="262626" w:themeColor="text1" w:themeTint="D9"/>
        </w:rPr>
      </w:pPr>
    </w:p>
    <w:p w:rsidR="00DA5BFA" w:rsidRPr="00F73C3A" w:rsidRDefault="005C7829" w:rsidP="001C7FBB">
      <w:pPr>
        <w:pStyle w:val="Title"/>
        <w:pBdr>
          <w:bottom w:val="none" w:sz="0" w:space="0" w:color="auto"/>
        </w:pBdr>
        <w:spacing w:after="0"/>
        <w:jc w:val="center"/>
        <w:rPr>
          <w:rFonts w:ascii="Calibri" w:hAnsi="Calibri"/>
          <w:color w:val="262626" w:themeColor="text1" w:themeTint="D9"/>
          <w:sz w:val="48"/>
        </w:rPr>
      </w:pPr>
      <w:r w:rsidRPr="00F73C3A">
        <w:rPr>
          <w:rFonts w:ascii="Calibri" w:hAnsi="Calibri"/>
          <w:color w:val="262626" w:themeColor="text1" w:themeTint="D9"/>
          <w:sz w:val="48"/>
        </w:rPr>
        <w:t xml:space="preserve">SUMMARY </w:t>
      </w:r>
      <w:r w:rsidR="000011CF" w:rsidRPr="00F73C3A">
        <w:rPr>
          <w:rFonts w:ascii="Calibri" w:hAnsi="Calibri"/>
          <w:color w:val="262626" w:themeColor="text1" w:themeTint="D9"/>
          <w:sz w:val="48"/>
        </w:rPr>
        <w:t>GUIDELINES</w:t>
      </w:r>
      <w:r w:rsidR="00DA5BFA" w:rsidRPr="00F73C3A">
        <w:rPr>
          <w:rFonts w:ascii="Calibri" w:hAnsi="Calibri"/>
          <w:color w:val="262626" w:themeColor="text1" w:themeTint="D9"/>
          <w:sz w:val="48"/>
        </w:rPr>
        <w:t xml:space="preserve"> </w:t>
      </w:r>
    </w:p>
    <w:p w:rsidR="000011CF" w:rsidRPr="00F73C3A" w:rsidRDefault="000011CF" w:rsidP="001C7FBB">
      <w:pPr>
        <w:pStyle w:val="Title"/>
        <w:pBdr>
          <w:bottom w:val="none" w:sz="0" w:space="0" w:color="auto"/>
        </w:pBdr>
        <w:spacing w:after="0"/>
        <w:jc w:val="center"/>
        <w:rPr>
          <w:rFonts w:ascii="Calibri" w:hAnsi="Calibri"/>
          <w:color w:val="262626" w:themeColor="text1" w:themeTint="D9"/>
          <w:sz w:val="48"/>
        </w:rPr>
      </w:pPr>
    </w:p>
    <w:p w:rsidR="000011CF" w:rsidRPr="00F73C3A" w:rsidRDefault="000011CF">
      <w:pPr>
        <w:jc w:val="center"/>
        <w:rPr>
          <w:rFonts w:ascii="Calibri" w:hAnsi="Calibri" w:cs="Arial"/>
          <w:color w:val="262626" w:themeColor="text1" w:themeTint="D9"/>
        </w:rPr>
      </w:pPr>
    </w:p>
    <w:p w:rsidR="001C7FBB" w:rsidRPr="00F73C3A" w:rsidRDefault="001C7FBB">
      <w:pPr>
        <w:rPr>
          <w:rFonts w:ascii="Calibri" w:hAnsi="Calibri" w:cs="Arial"/>
          <w:color w:val="262626" w:themeColor="text1" w:themeTint="D9"/>
        </w:rPr>
        <w:sectPr w:rsidR="001C7FBB" w:rsidRPr="00F73C3A" w:rsidSect="00081966">
          <w:headerReference w:type="default" r:id="rId10"/>
          <w:footerReference w:type="default" r:id="rId11"/>
          <w:pgSz w:w="11906" w:h="16838" w:code="9"/>
          <w:pgMar w:top="1701" w:right="1134" w:bottom="1134" w:left="1134" w:header="709" w:footer="113" w:gutter="0"/>
          <w:cols w:space="708"/>
          <w:titlePg/>
          <w:docGrid w:linePitch="360"/>
        </w:sectPr>
      </w:pPr>
    </w:p>
    <w:sdt>
      <w:sdtPr>
        <w:rPr>
          <w:rFonts w:ascii="Calibri" w:eastAsiaTheme="minorHAnsi" w:hAnsi="Calibri" w:cstheme="minorBidi"/>
          <w:b w:val="0"/>
          <w:bCs w:val="0"/>
          <w:color w:val="262626" w:themeColor="text1" w:themeTint="D9"/>
          <w:sz w:val="20"/>
          <w:szCs w:val="22"/>
          <w:lang w:val="en-GB" w:eastAsia="en-US"/>
        </w:rPr>
        <w:id w:val="1070002238"/>
        <w:docPartObj>
          <w:docPartGallery w:val="Table of Contents"/>
          <w:docPartUnique/>
        </w:docPartObj>
      </w:sdtPr>
      <w:sdtEndPr>
        <w:rPr>
          <w:noProof/>
          <w:color w:val="262626" w:themeColor="text1" w:themeTint="D9"/>
        </w:rPr>
      </w:sdtEndPr>
      <w:sdtContent>
        <w:p w:rsidR="00522BCB" w:rsidRPr="00F73C3A" w:rsidRDefault="00522BCB" w:rsidP="00854ED5">
          <w:pPr>
            <w:pStyle w:val="TOCHeading"/>
            <w:rPr>
              <w:rFonts w:ascii="Calibri" w:hAnsi="Calibri"/>
              <w:color w:val="262626" w:themeColor="text1" w:themeTint="D9"/>
            </w:rPr>
          </w:pPr>
          <w:r w:rsidRPr="00F73C3A">
            <w:rPr>
              <w:rFonts w:ascii="Calibri" w:hAnsi="Calibri"/>
              <w:color w:val="262626" w:themeColor="text1" w:themeTint="D9"/>
            </w:rPr>
            <w:t>Contents</w:t>
          </w:r>
        </w:p>
        <w:p w:rsidR="00E51202" w:rsidRPr="00F73C3A" w:rsidRDefault="00CB314F" w:rsidP="00E51202">
          <w:pPr>
            <w:pStyle w:val="TOC1"/>
            <w:rPr>
              <w:rFonts w:ascii="Calibri" w:hAnsi="Calibri"/>
              <w:b w:val="0"/>
              <w:color w:val="262626" w:themeColor="text1" w:themeTint="D9"/>
              <w:sz w:val="22"/>
              <w:lang w:val="en-GB" w:eastAsia="en-GB"/>
            </w:rPr>
          </w:pPr>
          <w:r w:rsidRPr="00F73C3A">
            <w:rPr>
              <w:rFonts w:ascii="Calibri" w:hAnsi="Calibri"/>
              <w:color w:val="262626" w:themeColor="text1" w:themeTint="D9"/>
            </w:rPr>
            <w:fldChar w:fldCharType="begin"/>
          </w:r>
          <w:r w:rsidR="00522BCB" w:rsidRPr="00F73C3A">
            <w:rPr>
              <w:rFonts w:ascii="Calibri" w:hAnsi="Calibri"/>
              <w:color w:val="262626" w:themeColor="text1" w:themeTint="D9"/>
            </w:rPr>
            <w:instrText xml:space="preserve"> TOC \o "1-3" \h \z \u </w:instrText>
          </w:r>
          <w:r w:rsidRPr="00F73C3A">
            <w:rPr>
              <w:rFonts w:ascii="Calibri" w:hAnsi="Calibri"/>
              <w:color w:val="262626" w:themeColor="text1" w:themeTint="D9"/>
            </w:rPr>
            <w:fldChar w:fldCharType="separate"/>
          </w:r>
          <w:hyperlink w:anchor="_Toc349308459" w:history="1">
            <w:r w:rsidR="00E51202" w:rsidRPr="00F73C3A">
              <w:rPr>
                <w:rStyle w:val="Hyperlink"/>
                <w:rFonts w:ascii="Calibri" w:hAnsi="Calibri"/>
                <w:color w:val="262626" w:themeColor="text1" w:themeTint="D9"/>
              </w:rPr>
              <w:t>PART 1: BACKGROUND</w:t>
            </w:r>
            <w:r w:rsidR="00E51202" w:rsidRPr="00F73C3A">
              <w:rPr>
                <w:rFonts w:ascii="Calibri" w:hAnsi="Calibri"/>
                <w:webHidden/>
                <w:color w:val="262626" w:themeColor="text1" w:themeTint="D9"/>
              </w:rPr>
              <w:tab/>
            </w:r>
            <w:r w:rsidRPr="00F73C3A">
              <w:rPr>
                <w:rFonts w:ascii="Calibri" w:hAnsi="Calibri"/>
                <w:webHidden/>
                <w:color w:val="262626" w:themeColor="text1" w:themeTint="D9"/>
              </w:rPr>
              <w:fldChar w:fldCharType="begin"/>
            </w:r>
            <w:r w:rsidR="00E51202" w:rsidRPr="00F73C3A">
              <w:rPr>
                <w:rFonts w:ascii="Calibri" w:hAnsi="Calibri"/>
                <w:webHidden/>
                <w:color w:val="262626" w:themeColor="text1" w:themeTint="D9"/>
              </w:rPr>
              <w:instrText xml:space="preserve"> PAGEREF _Toc349308459 \h </w:instrText>
            </w:r>
            <w:r w:rsidRPr="00F73C3A">
              <w:rPr>
                <w:rFonts w:ascii="Calibri" w:hAnsi="Calibri"/>
                <w:webHidden/>
                <w:color w:val="262626" w:themeColor="text1" w:themeTint="D9"/>
              </w:rPr>
            </w:r>
            <w:r w:rsidRPr="00F73C3A">
              <w:rPr>
                <w:rFonts w:ascii="Calibri" w:hAnsi="Calibri"/>
                <w:webHidden/>
                <w:color w:val="262626" w:themeColor="text1" w:themeTint="D9"/>
              </w:rPr>
              <w:fldChar w:fldCharType="separate"/>
            </w:r>
            <w:r w:rsidR="00324E8C" w:rsidRPr="00F73C3A">
              <w:rPr>
                <w:rFonts w:ascii="Calibri" w:hAnsi="Calibri"/>
                <w:webHidden/>
                <w:color w:val="262626" w:themeColor="text1" w:themeTint="D9"/>
              </w:rPr>
              <w:t>3</w:t>
            </w:r>
            <w:r w:rsidRPr="00F73C3A">
              <w:rPr>
                <w:rFonts w:ascii="Calibri" w:hAnsi="Calibri"/>
                <w:webHidden/>
                <w:color w:val="262626" w:themeColor="text1" w:themeTint="D9"/>
              </w:rPr>
              <w:fldChar w:fldCharType="end"/>
            </w:r>
          </w:hyperlink>
        </w:p>
        <w:p w:rsidR="00E51202" w:rsidRPr="00F73C3A" w:rsidRDefault="00F73C3A" w:rsidP="00E51202">
          <w:pPr>
            <w:pStyle w:val="TOC1"/>
            <w:rPr>
              <w:rFonts w:ascii="Calibri" w:hAnsi="Calibri"/>
              <w:b w:val="0"/>
              <w:color w:val="262626" w:themeColor="text1" w:themeTint="D9"/>
              <w:sz w:val="22"/>
              <w:lang w:val="en-GB" w:eastAsia="en-GB"/>
            </w:rPr>
          </w:pPr>
          <w:hyperlink w:anchor="_Toc349308460" w:history="1">
            <w:r w:rsidR="00E51202" w:rsidRPr="00F73C3A">
              <w:rPr>
                <w:rStyle w:val="Hyperlink"/>
                <w:rFonts w:ascii="Calibri" w:hAnsi="Calibri"/>
                <w:color w:val="262626" w:themeColor="text1" w:themeTint="D9"/>
              </w:rPr>
              <w:t>PART 2: ELIGIBILITY CRITERIA</w:t>
            </w:r>
            <w:r w:rsidR="00E51202" w:rsidRPr="00F73C3A">
              <w:rPr>
                <w:rFonts w:ascii="Calibri" w:hAnsi="Calibri"/>
                <w:webHidden/>
                <w:color w:val="262626" w:themeColor="text1" w:themeTint="D9"/>
              </w:rPr>
              <w:tab/>
            </w:r>
            <w:r w:rsidR="00CB314F" w:rsidRPr="00F73C3A">
              <w:rPr>
                <w:rFonts w:ascii="Calibri" w:hAnsi="Calibri"/>
                <w:webHidden/>
                <w:color w:val="262626" w:themeColor="text1" w:themeTint="D9"/>
              </w:rPr>
              <w:fldChar w:fldCharType="begin"/>
            </w:r>
            <w:r w:rsidR="00E51202" w:rsidRPr="00F73C3A">
              <w:rPr>
                <w:rFonts w:ascii="Calibri" w:hAnsi="Calibri"/>
                <w:webHidden/>
                <w:color w:val="262626" w:themeColor="text1" w:themeTint="D9"/>
              </w:rPr>
              <w:instrText xml:space="preserve"> PAGEREF _Toc349308460 \h </w:instrText>
            </w:r>
            <w:r w:rsidR="00CB314F" w:rsidRPr="00F73C3A">
              <w:rPr>
                <w:rFonts w:ascii="Calibri" w:hAnsi="Calibri"/>
                <w:webHidden/>
                <w:color w:val="262626" w:themeColor="text1" w:themeTint="D9"/>
              </w:rPr>
            </w:r>
            <w:r w:rsidR="00CB314F" w:rsidRPr="00F73C3A">
              <w:rPr>
                <w:rFonts w:ascii="Calibri" w:hAnsi="Calibri"/>
                <w:webHidden/>
                <w:color w:val="262626" w:themeColor="text1" w:themeTint="D9"/>
              </w:rPr>
              <w:fldChar w:fldCharType="separate"/>
            </w:r>
            <w:r w:rsidR="00324E8C" w:rsidRPr="00F73C3A">
              <w:rPr>
                <w:rFonts w:ascii="Calibri" w:hAnsi="Calibri"/>
                <w:webHidden/>
                <w:color w:val="262626" w:themeColor="text1" w:themeTint="D9"/>
              </w:rPr>
              <w:t>7</w:t>
            </w:r>
            <w:r w:rsidR="00CB314F" w:rsidRPr="00F73C3A">
              <w:rPr>
                <w:rFonts w:ascii="Calibri" w:hAnsi="Calibri"/>
                <w:webHidden/>
                <w:color w:val="262626" w:themeColor="text1" w:themeTint="D9"/>
              </w:rPr>
              <w:fldChar w:fldCharType="end"/>
            </w:r>
          </w:hyperlink>
        </w:p>
        <w:p w:rsidR="00E51202" w:rsidRPr="00F73C3A" w:rsidRDefault="00F73C3A" w:rsidP="00E51202">
          <w:pPr>
            <w:pStyle w:val="TOC2"/>
            <w:tabs>
              <w:tab w:val="right" w:pos="9072"/>
            </w:tabs>
            <w:rPr>
              <w:rFonts w:ascii="Calibri" w:hAnsi="Calibri"/>
              <w:noProof/>
              <w:color w:val="262626" w:themeColor="text1" w:themeTint="D9"/>
              <w:sz w:val="22"/>
              <w:lang w:val="en-GB" w:eastAsia="en-GB"/>
            </w:rPr>
          </w:pPr>
          <w:hyperlink w:anchor="_Toc349308461" w:history="1">
            <w:r w:rsidR="00E51202" w:rsidRPr="00F73C3A">
              <w:rPr>
                <w:rStyle w:val="Hyperlink"/>
                <w:rFonts w:ascii="Calibri" w:hAnsi="Calibri"/>
                <w:noProof/>
                <w:color w:val="262626" w:themeColor="text1" w:themeTint="D9"/>
              </w:rPr>
              <w:t>Location</w:t>
            </w:r>
            <w:r w:rsidR="00E51202" w:rsidRPr="00F73C3A">
              <w:rPr>
                <w:rFonts w:ascii="Calibri" w:hAnsi="Calibri"/>
                <w:noProof/>
                <w:webHidden/>
                <w:color w:val="262626" w:themeColor="text1" w:themeTint="D9"/>
              </w:rPr>
              <w:tab/>
            </w:r>
            <w:r w:rsidR="00CB314F" w:rsidRPr="00F73C3A">
              <w:rPr>
                <w:rFonts w:ascii="Calibri" w:hAnsi="Calibri"/>
                <w:noProof/>
                <w:webHidden/>
                <w:color w:val="262626" w:themeColor="text1" w:themeTint="D9"/>
              </w:rPr>
              <w:fldChar w:fldCharType="begin"/>
            </w:r>
            <w:r w:rsidR="00E51202" w:rsidRPr="00F73C3A">
              <w:rPr>
                <w:rFonts w:ascii="Calibri" w:hAnsi="Calibri"/>
                <w:noProof/>
                <w:webHidden/>
                <w:color w:val="262626" w:themeColor="text1" w:themeTint="D9"/>
              </w:rPr>
              <w:instrText xml:space="preserve"> PAGEREF _Toc349308461 \h </w:instrText>
            </w:r>
            <w:r w:rsidR="00CB314F" w:rsidRPr="00F73C3A">
              <w:rPr>
                <w:rFonts w:ascii="Calibri" w:hAnsi="Calibri"/>
                <w:noProof/>
                <w:webHidden/>
                <w:color w:val="262626" w:themeColor="text1" w:themeTint="D9"/>
              </w:rPr>
            </w:r>
            <w:r w:rsidR="00CB314F" w:rsidRPr="00F73C3A">
              <w:rPr>
                <w:rFonts w:ascii="Calibri" w:hAnsi="Calibri"/>
                <w:noProof/>
                <w:webHidden/>
                <w:color w:val="262626" w:themeColor="text1" w:themeTint="D9"/>
              </w:rPr>
              <w:fldChar w:fldCharType="separate"/>
            </w:r>
            <w:r w:rsidR="00324E8C" w:rsidRPr="00F73C3A">
              <w:rPr>
                <w:rFonts w:ascii="Calibri" w:hAnsi="Calibri"/>
                <w:noProof/>
                <w:webHidden/>
                <w:color w:val="262626" w:themeColor="text1" w:themeTint="D9"/>
              </w:rPr>
              <w:t>7</w:t>
            </w:r>
            <w:r w:rsidR="00CB314F" w:rsidRPr="00F73C3A">
              <w:rPr>
                <w:rFonts w:ascii="Calibri" w:hAnsi="Calibri"/>
                <w:noProof/>
                <w:webHidden/>
                <w:color w:val="262626" w:themeColor="text1" w:themeTint="D9"/>
              </w:rPr>
              <w:fldChar w:fldCharType="end"/>
            </w:r>
          </w:hyperlink>
        </w:p>
        <w:p w:rsidR="00E51202" w:rsidRPr="00F73C3A" w:rsidRDefault="00F73C3A" w:rsidP="00E51202">
          <w:pPr>
            <w:pStyle w:val="TOC2"/>
            <w:tabs>
              <w:tab w:val="right" w:pos="9072"/>
            </w:tabs>
            <w:rPr>
              <w:rFonts w:ascii="Calibri" w:hAnsi="Calibri"/>
              <w:noProof/>
              <w:color w:val="262626" w:themeColor="text1" w:themeTint="D9"/>
              <w:sz w:val="22"/>
              <w:lang w:val="en-GB" w:eastAsia="en-GB"/>
            </w:rPr>
          </w:pPr>
          <w:hyperlink w:anchor="_Toc349308462" w:history="1">
            <w:r w:rsidR="00E51202" w:rsidRPr="00F73C3A">
              <w:rPr>
                <w:rStyle w:val="Hyperlink"/>
                <w:rFonts w:ascii="Calibri" w:hAnsi="Calibri"/>
                <w:noProof/>
                <w:color w:val="262626" w:themeColor="text1" w:themeTint="D9"/>
              </w:rPr>
              <w:t>Eligible activity</w:t>
            </w:r>
            <w:r w:rsidR="00E51202" w:rsidRPr="00F73C3A">
              <w:rPr>
                <w:rFonts w:ascii="Calibri" w:hAnsi="Calibri"/>
                <w:noProof/>
                <w:webHidden/>
                <w:color w:val="262626" w:themeColor="text1" w:themeTint="D9"/>
              </w:rPr>
              <w:tab/>
            </w:r>
            <w:r w:rsidR="00CB314F" w:rsidRPr="00F73C3A">
              <w:rPr>
                <w:rFonts w:ascii="Calibri" w:hAnsi="Calibri"/>
                <w:noProof/>
                <w:webHidden/>
                <w:color w:val="262626" w:themeColor="text1" w:themeTint="D9"/>
              </w:rPr>
              <w:fldChar w:fldCharType="begin"/>
            </w:r>
            <w:r w:rsidR="00E51202" w:rsidRPr="00F73C3A">
              <w:rPr>
                <w:rFonts w:ascii="Calibri" w:hAnsi="Calibri"/>
                <w:noProof/>
                <w:webHidden/>
                <w:color w:val="262626" w:themeColor="text1" w:themeTint="D9"/>
              </w:rPr>
              <w:instrText xml:space="preserve"> PAGEREF _Toc349308462 \h </w:instrText>
            </w:r>
            <w:r w:rsidR="00CB314F" w:rsidRPr="00F73C3A">
              <w:rPr>
                <w:rFonts w:ascii="Calibri" w:hAnsi="Calibri"/>
                <w:noProof/>
                <w:webHidden/>
                <w:color w:val="262626" w:themeColor="text1" w:themeTint="D9"/>
              </w:rPr>
            </w:r>
            <w:r w:rsidR="00CB314F" w:rsidRPr="00F73C3A">
              <w:rPr>
                <w:rFonts w:ascii="Calibri" w:hAnsi="Calibri"/>
                <w:noProof/>
                <w:webHidden/>
                <w:color w:val="262626" w:themeColor="text1" w:themeTint="D9"/>
              </w:rPr>
              <w:fldChar w:fldCharType="separate"/>
            </w:r>
            <w:r w:rsidR="00324E8C" w:rsidRPr="00F73C3A">
              <w:rPr>
                <w:rFonts w:ascii="Calibri" w:hAnsi="Calibri"/>
                <w:noProof/>
                <w:webHidden/>
                <w:color w:val="262626" w:themeColor="text1" w:themeTint="D9"/>
              </w:rPr>
              <w:t>7</w:t>
            </w:r>
            <w:r w:rsidR="00CB314F" w:rsidRPr="00F73C3A">
              <w:rPr>
                <w:rFonts w:ascii="Calibri" w:hAnsi="Calibri"/>
                <w:noProof/>
                <w:webHidden/>
                <w:color w:val="262626" w:themeColor="text1" w:themeTint="D9"/>
              </w:rPr>
              <w:fldChar w:fldCharType="end"/>
            </w:r>
          </w:hyperlink>
        </w:p>
        <w:p w:rsidR="00E51202" w:rsidRPr="00F73C3A" w:rsidRDefault="00F73C3A" w:rsidP="00E51202">
          <w:pPr>
            <w:pStyle w:val="TOC2"/>
            <w:tabs>
              <w:tab w:val="right" w:pos="9072"/>
            </w:tabs>
            <w:rPr>
              <w:rFonts w:ascii="Calibri" w:hAnsi="Calibri"/>
              <w:noProof/>
              <w:color w:val="262626" w:themeColor="text1" w:themeTint="D9"/>
              <w:sz w:val="22"/>
              <w:lang w:val="en-GB" w:eastAsia="en-GB"/>
            </w:rPr>
          </w:pPr>
          <w:hyperlink w:anchor="_Toc349308465" w:history="1">
            <w:r w:rsidR="00E51202" w:rsidRPr="00F73C3A">
              <w:rPr>
                <w:rStyle w:val="Hyperlink"/>
                <w:rFonts w:ascii="Calibri" w:hAnsi="Calibri"/>
                <w:noProof/>
                <w:color w:val="262626" w:themeColor="text1" w:themeTint="D9"/>
              </w:rPr>
              <w:t>Eligible project costs</w:t>
            </w:r>
            <w:r w:rsidR="00E51202" w:rsidRPr="00F73C3A">
              <w:rPr>
                <w:rFonts w:ascii="Calibri" w:hAnsi="Calibri"/>
                <w:noProof/>
                <w:webHidden/>
                <w:color w:val="262626" w:themeColor="text1" w:themeTint="D9"/>
              </w:rPr>
              <w:tab/>
            </w:r>
            <w:r w:rsidR="00CB314F" w:rsidRPr="00F73C3A">
              <w:rPr>
                <w:rFonts w:ascii="Calibri" w:hAnsi="Calibri"/>
                <w:noProof/>
                <w:webHidden/>
                <w:color w:val="262626" w:themeColor="text1" w:themeTint="D9"/>
              </w:rPr>
              <w:fldChar w:fldCharType="begin"/>
            </w:r>
            <w:r w:rsidR="00E51202" w:rsidRPr="00F73C3A">
              <w:rPr>
                <w:rFonts w:ascii="Calibri" w:hAnsi="Calibri"/>
                <w:noProof/>
                <w:webHidden/>
                <w:color w:val="262626" w:themeColor="text1" w:themeTint="D9"/>
              </w:rPr>
              <w:instrText xml:space="preserve"> PAGEREF _Toc349308465 \h </w:instrText>
            </w:r>
            <w:r w:rsidR="00CB314F" w:rsidRPr="00F73C3A">
              <w:rPr>
                <w:rFonts w:ascii="Calibri" w:hAnsi="Calibri"/>
                <w:noProof/>
                <w:webHidden/>
                <w:color w:val="262626" w:themeColor="text1" w:themeTint="D9"/>
              </w:rPr>
            </w:r>
            <w:r w:rsidR="00CB314F" w:rsidRPr="00F73C3A">
              <w:rPr>
                <w:rFonts w:ascii="Calibri" w:hAnsi="Calibri"/>
                <w:noProof/>
                <w:webHidden/>
                <w:color w:val="262626" w:themeColor="text1" w:themeTint="D9"/>
              </w:rPr>
              <w:fldChar w:fldCharType="separate"/>
            </w:r>
            <w:r w:rsidR="00324E8C" w:rsidRPr="00F73C3A">
              <w:rPr>
                <w:rFonts w:ascii="Calibri" w:hAnsi="Calibri"/>
                <w:noProof/>
                <w:webHidden/>
                <w:color w:val="262626" w:themeColor="text1" w:themeTint="D9"/>
              </w:rPr>
              <w:t>9</w:t>
            </w:r>
            <w:r w:rsidR="00CB314F" w:rsidRPr="00F73C3A">
              <w:rPr>
                <w:rFonts w:ascii="Calibri" w:hAnsi="Calibri"/>
                <w:noProof/>
                <w:webHidden/>
                <w:color w:val="262626" w:themeColor="text1" w:themeTint="D9"/>
              </w:rPr>
              <w:fldChar w:fldCharType="end"/>
            </w:r>
          </w:hyperlink>
        </w:p>
        <w:p w:rsidR="00E51202" w:rsidRPr="00F73C3A" w:rsidRDefault="00F73C3A" w:rsidP="00E51202">
          <w:pPr>
            <w:pStyle w:val="TOC2"/>
            <w:tabs>
              <w:tab w:val="right" w:pos="9072"/>
            </w:tabs>
            <w:rPr>
              <w:rFonts w:ascii="Calibri" w:hAnsi="Calibri"/>
              <w:noProof/>
              <w:color w:val="262626" w:themeColor="text1" w:themeTint="D9"/>
              <w:sz w:val="22"/>
              <w:lang w:val="en-GB" w:eastAsia="en-GB"/>
            </w:rPr>
          </w:pPr>
          <w:hyperlink w:anchor="_Toc349308469" w:history="1">
            <w:r w:rsidR="00E51202" w:rsidRPr="00F73C3A">
              <w:rPr>
                <w:rStyle w:val="Hyperlink"/>
                <w:rFonts w:ascii="Calibri" w:hAnsi="Calibri"/>
                <w:noProof/>
                <w:color w:val="262626" w:themeColor="text1" w:themeTint="D9"/>
              </w:rPr>
              <w:t>Creation or safeguarding of jobs</w:t>
            </w:r>
            <w:r w:rsidR="00E51202" w:rsidRPr="00F73C3A">
              <w:rPr>
                <w:rFonts w:ascii="Calibri" w:hAnsi="Calibri"/>
                <w:noProof/>
                <w:webHidden/>
                <w:color w:val="262626" w:themeColor="text1" w:themeTint="D9"/>
              </w:rPr>
              <w:tab/>
            </w:r>
            <w:r w:rsidR="00CB314F" w:rsidRPr="00F73C3A">
              <w:rPr>
                <w:rFonts w:ascii="Calibri" w:hAnsi="Calibri"/>
                <w:noProof/>
                <w:webHidden/>
                <w:color w:val="262626" w:themeColor="text1" w:themeTint="D9"/>
              </w:rPr>
              <w:fldChar w:fldCharType="begin"/>
            </w:r>
            <w:r w:rsidR="00E51202" w:rsidRPr="00F73C3A">
              <w:rPr>
                <w:rFonts w:ascii="Calibri" w:hAnsi="Calibri"/>
                <w:noProof/>
                <w:webHidden/>
                <w:color w:val="262626" w:themeColor="text1" w:themeTint="D9"/>
              </w:rPr>
              <w:instrText xml:space="preserve"> PAGEREF _Toc349308469 \h </w:instrText>
            </w:r>
            <w:r w:rsidR="00CB314F" w:rsidRPr="00F73C3A">
              <w:rPr>
                <w:rFonts w:ascii="Calibri" w:hAnsi="Calibri"/>
                <w:noProof/>
                <w:webHidden/>
                <w:color w:val="262626" w:themeColor="text1" w:themeTint="D9"/>
              </w:rPr>
            </w:r>
            <w:r w:rsidR="00CB314F" w:rsidRPr="00F73C3A">
              <w:rPr>
                <w:rFonts w:ascii="Calibri" w:hAnsi="Calibri"/>
                <w:noProof/>
                <w:webHidden/>
                <w:color w:val="262626" w:themeColor="text1" w:themeTint="D9"/>
              </w:rPr>
              <w:fldChar w:fldCharType="separate"/>
            </w:r>
            <w:r w:rsidR="00324E8C" w:rsidRPr="00F73C3A">
              <w:rPr>
                <w:rFonts w:ascii="Calibri" w:hAnsi="Calibri"/>
                <w:noProof/>
                <w:webHidden/>
                <w:color w:val="262626" w:themeColor="text1" w:themeTint="D9"/>
              </w:rPr>
              <w:t>12</w:t>
            </w:r>
            <w:r w:rsidR="00CB314F" w:rsidRPr="00F73C3A">
              <w:rPr>
                <w:rFonts w:ascii="Calibri" w:hAnsi="Calibri"/>
                <w:noProof/>
                <w:webHidden/>
                <w:color w:val="262626" w:themeColor="text1" w:themeTint="D9"/>
              </w:rPr>
              <w:fldChar w:fldCharType="end"/>
            </w:r>
          </w:hyperlink>
        </w:p>
        <w:p w:rsidR="00E51202" w:rsidRPr="00F73C3A" w:rsidRDefault="00F73C3A" w:rsidP="00E51202">
          <w:pPr>
            <w:pStyle w:val="TOC2"/>
            <w:tabs>
              <w:tab w:val="right" w:pos="9072"/>
            </w:tabs>
            <w:rPr>
              <w:rFonts w:ascii="Calibri" w:hAnsi="Calibri"/>
              <w:noProof/>
              <w:color w:val="262626" w:themeColor="text1" w:themeTint="D9"/>
              <w:sz w:val="22"/>
              <w:lang w:val="en-GB" w:eastAsia="en-GB"/>
            </w:rPr>
          </w:pPr>
          <w:hyperlink w:anchor="_Toc349308470" w:history="1">
            <w:r w:rsidR="00E51202" w:rsidRPr="00F73C3A">
              <w:rPr>
                <w:rStyle w:val="Hyperlink"/>
                <w:rFonts w:ascii="Calibri" w:hAnsi="Calibri"/>
                <w:noProof/>
                <w:color w:val="262626" w:themeColor="text1" w:themeTint="D9"/>
              </w:rPr>
              <w:t>Viability</w:t>
            </w:r>
            <w:r w:rsidR="00E51202" w:rsidRPr="00F73C3A">
              <w:rPr>
                <w:rFonts w:ascii="Calibri" w:hAnsi="Calibri"/>
                <w:noProof/>
                <w:webHidden/>
                <w:color w:val="262626" w:themeColor="text1" w:themeTint="D9"/>
              </w:rPr>
              <w:tab/>
            </w:r>
            <w:r w:rsidR="00CB314F" w:rsidRPr="00F73C3A">
              <w:rPr>
                <w:rFonts w:ascii="Calibri" w:hAnsi="Calibri"/>
                <w:noProof/>
                <w:webHidden/>
                <w:color w:val="262626" w:themeColor="text1" w:themeTint="D9"/>
              </w:rPr>
              <w:fldChar w:fldCharType="begin"/>
            </w:r>
            <w:r w:rsidR="00E51202" w:rsidRPr="00F73C3A">
              <w:rPr>
                <w:rFonts w:ascii="Calibri" w:hAnsi="Calibri"/>
                <w:noProof/>
                <w:webHidden/>
                <w:color w:val="262626" w:themeColor="text1" w:themeTint="D9"/>
              </w:rPr>
              <w:instrText xml:space="preserve"> PAGEREF _Toc349308470 \h </w:instrText>
            </w:r>
            <w:r w:rsidR="00CB314F" w:rsidRPr="00F73C3A">
              <w:rPr>
                <w:rFonts w:ascii="Calibri" w:hAnsi="Calibri"/>
                <w:noProof/>
                <w:webHidden/>
                <w:color w:val="262626" w:themeColor="text1" w:themeTint="D9"/>
              </w:rPr>
            </w:r>
            <w:r w:rsidR="00CB314F" w:rsidRPr="00F73C3A">
              <w:rPr>
                <w:rFonts w:ascii="Calibri" w:hAnsi="Calibri"/>
                <w:noProof/>
                <w:webHidden/>
                <w:color w:val="262626" w:themeColor="text1" w:themeTint="D9"/>
              </w:rPr>
              <w:fldChar w:fldCharType="separate"/>
            </w:r>
            <w:r w:rsidR="00324E8C" w:rsidRPr="00F73C3A">
              <w:rPr>
                <w:rFonts w:ascii="Calibri" w:hAnsi="Calibri"/>
                <w:noProof/>
                <w:webHidden/>
                <w:color w:val="262626" w:themeColor="text1" w:themeTint="D9"/>
              </w:rPr>
              <w:t>13</w:t>
            </w:r>
            <w:r w:rsidR="00CB314F" w:rsidRPr="00F73C3A">
              <w:rPr>
                <w:rFonts w:ascii="Calibri" w:hAnsi="Calibri"/>
                <w:noProof/>
                <w:webHidden/>
                <w:color w:val="262626" w:themeColor="text1" w:themeTint="D9"/>
              </w:rPr>
              <w:fldChar w:fldCharType="end"/>
            </w:r>
          </w:hyperlink>
        </w:p>
        <w:p w:rsidR="00E51202" w:rsidRPr="00F73C3A" w:rsidRDefault="00F73C3A" w:rsidP="00E51202">
          <w:pPr>
            <w:pStyle w:val="TOC2"/>
            <w:tabs>
              <w:tab w:val="right" w:pos="9072"/>
            </w:tabs>
            <w:rPr>
              <w:rFonts w:ascii="Calibri" w:hAnsi="Calibri"/>
              <w:noProof/>
              <w:color w:val="262626" w:themeColor="text1" w:themeTint="D9"/>
              <w:sz w:val="22"/>
              <w:lang w:val="en-GB" w:eastAsia="en-GB"/>
            </w:rPr>
          </w:pPr>
          <w:hyperlink w:anchor="_Toc349308471" w:history="1">
            <w:r w:rsidR="00E51202" w:rsidRPr="00F73C3A">
              <w:rPr>
                <w:rStyle w:val="Hyperlink"/>
                <w:rFonts w:ascii="Calibri" w:hAnsi="Calibri"/>
                <w:noProof/>
                <w:color w:val="262626" w:themeColor="text1" w:themeTint="D9"/>
              </w:rPr>
              <w:t>Additionality</w:t>
            </w:r>
            <w:r w:rsidR="00E51202" w:rsidRPr="00F73C3A">
              <w:rPr>
                <w:rFonts w:ascii="Calibri" w:hAnsi="Calibri"/>
                <w:noProof/>
                <w:webHidden/>
                <w:color w:val="262626" w:themeColor="text1" w:themeTint="D9"/>
              </w:rPr>
              <w:tab/>
            </w:r>
            <w:r w:rsidR="00CB314F" w:rsidRPr="00F73C3A">
              <w:rPr>
                <w:rFonts w:ascii="Calibri" w:hAnsi="Calibri"/>
                <w:noProof/>
                <w:webHidden/>
                <w:color w:val="262626" w:themeColor="text1" w:themeTint="D9"/>
              </w:rPr>
              <w:fldChar w:fldCharType="begin"/>
            </w:r>
            <w:r w:rsidR="00E51202" w:rsidRPr="00F73C3A">
              <w:rPr>
                <w:rFonts w:ascii="Calibri" w:hAnsi="Calibri"/>
                <w:noProof/>
                <w:webHidden/>
                <w:color w:val="262626" w:themeColor="text1" w:themeTint="D9"/>
              </w:rPr>
              <w:instrText xml:space="preserve"> PAGEREF _Toc349308471 \h </w:instrText>
            </w:r>
            <w:r w:rsidR="00CB314F" w:rsidRPr="00F73C3A">
              <w:rPr>
                <w:rFonts w:ascii="Calibri" w:hAnsi="Calibri"/>
                <w:noProof/>
                <w:webHidden/>
                <w:color w:val="262626" w:themeColor="text1" w:themeTint="D9"/>
              </w:rPr>
            </w:r>
            <w:r w:rsidR="00CB314F" w:rsidRPr="00F73C3A">
              <w:rPr>
                <w:rFonts w:ascii="Calibri" w:hAnsi="Calibri"/>
                <w:noProof/>
                <w:webHidden/>
                <w:color w:val="262626" w:themeColor="text1" w:themeTint="D9"/>
              </w:rPr>
              <w:fldChar w:fldCharType="separate"/>
            </w:r>
            <w:r w:rsidR="00324E8C" w:rsidRPr="00F73C3A">
              <w:rPr>
                <w:rFonts w:ascii="Calibri" w:hAnsi="Calibri"/>
                <w:noProof/>
                <w:webHidden/>
                <w:color w:val="262626" w:themeColor="text1" w:themeTint="D9"/>
              </w:rPr>
              <w:t>13</w:t>
            </w:r>
            <w:r w:rsidR="00CB314F" w:rsidRPr="00F73C3A">
              <w:rPr>
                <w:rFonts w:ascii="Calibri" w:hAnsi="Calibri"/>
                <w:noProof/>
                <w:webHidden/>
                <w:color w:val="262626" w:themeColor="text1" w:themeTint="D9"/>
              </w:rPr>
              <w:fldChar w:fldCharType="end"/>
            </w:r>
          </w:hyperlink>
        </w:p>
        <w:p w:rsidR="00E51202" w:rsidRPr="00F73C3A" w:rsidRDefault="00F73C3A" w:rsidP="00E51202">
          <w:pPr>
            <w:pStyle w:val="TOC2"/>
            <w:tabs>
              <w:tab w:val="right" w:pos="9072"/>
            </w:tabs>
            <w:rPr>
              <w:rFonts w:ascii="Calibri" w:hAnsi="Calibri"/>
              <w:noProof/>
              <w:color w:val="262626" w:themeColor="text1" w:themeTint="D9"/>
              <w:sz w:val="22"/>
              <w:lang w:val="en-GB" w:eastAsia="en-GB"/>
            </w:rPr>
          </w:pPr>
          <w:hyperlink w:anchor="_Toc349308473" w:history="1">
            <w:r w:rsidR="00E51202" w:rsidRPr="00F73C3A">
              <w:rPr>
                <w:rStyle w:val="Hyperlink"/>
                <w:rFonts w:ascii="Calibri" w:hAnsi="Calibri"/>
                <w:noProof/>
                <w:color w:val="262626" w:themeColor="text1" w:themeTint="D9"/>
              </w:rPr>
              <w:t>Gross grant equivalent aid intensity</w:t>
            </w:r>
            <w:r w:rsidR="00E51202" w:rsidRPr="00F73C3A">
              <w:rPr>
                <w:rFonts w:ascii="Calibri" w:hAnsi="Calibri"/>
                <w:noProof/>
                <w:webHidden/>
                <w:color w:val="262626" w:themeColor="text1" w:themeTint="D9"/>
              </w:rPr>
              <w:tab/>
            </w:r>
            <w:r w:rsidR="00CB314F" w:rsidRPr="00F73C3A">
              <w:rPr>
                <w:rFonts w:ascii="Calibri" w:hAnsi="Calibri"/>
                <w:noProof/>
                <w:webHidden/>
                <w:color w:val="262626" w:themeColor="text1" w:themeTint="D9"/>
              </w:rPr>
              <w:fldChar w:fldCharType="begin"/>
            </w:r>
            <w:r w:rsidR="00E51202" w:rsidRPr="00F73C3A">
              <w:rPr>
                <w:rFonts w:ascii="Calibri" w:hAnsi="Calibri"/>
                <w:noProof/>
                <w:webHidden/>
                <w:color w:val="262626" w:themeColor="text1" w:themeTint="D9"/>
              </w:rPr>
              <w:instrText xml:space="preserve"> PAGEREF _Toc349308473 \h </w:instrText>
            </w:r>
            <w:r w:rsidR="00CB314F" w:rsidRPr="00F73C3A">
              <w:rPr>
                <w:rFonts w:ascii="Calibri" w:hAnsi="Calibri"/>
                <w:noProof/>
                <w:webHidden/>
                <w:color w:val="262626" w:themeColor="text1" w:themeTint="D9"/>
              </w:rPr>
            </w:r>
            <w:r w:rsidR="00CB314F" w:rsidRPr="00F73C3A">
              <w:rPr>
                <w:rFonts w:ascii="Calibri" w:hAnsi="Calibri"/>
                <w:noProof/>
                <w:webHidden/>
                <w:color w:val="262626" w:themeColor="text1" w:themeTint="D9"/>
              </w:rPr>
              <w:fldChar w:fldCharType="separate"/>
            </w:r>
            <w:r w:rsidR="00324E8C" w:rsidRPr="00F73C3A">
              <w:rPr>
                <w:rFonts w:ascii="Calibri" w:hAnsi="Calibri"/>
                <w:noProof/>
                <w:webHidden/>
                <w:color w:val="262626" w:themeColor="text1" w:themeTint="D9"/>
              </w:rPr>
              <w:t>14</w:t>
            </w:r>
            <w:r w:rsidR="00CB314F" w:rsidRPr="00F73C3A">
              <w:rPr>
                <w:rFonts w:ascii="Calibri" w:hAnsi="Calibri"/>
                <w:noProof/>
                <w:webHidden/>
                <w:color w:val="262626" w:themeColor="text1" w:themeTint="D9"/>
              </w:rPr>
              <w:fldChar w:fldCharType="end"/>
            </w:r>
          </w:hyperlink>
        </w:p>
        <w:p w:rsidR="00E51202" w:rsidRPr="00F73C3A" w:rsidRDefault="00F73C3A" w:rsidP="00E51202">
          <w:pPr>
            <w:pStyle w:val="TOC2"/>
            <w:tabs>
              <w:tab w:val="right" w:pos="9072"/>
            </w:tabs>
            <w:rPr>
              <w:rFonts w:ascii="Calibri" w:hAnsi="Calibri"/>
              <w:noProof/>
              <w:color w:val="262626" w:themeColor="text1" w:themeTint="D9"/>
              <w:sz w:val="22"/>
              <w:lang w:val="en-GB" w:eastAsia="en-GB"/>
            </w:rPr>
          </w:pPr>
          <w:hyperlink w:anchor="_Toc349308478" w:history="1">
            <w:r w:rsidR="00E51202" w:rsidRPr="00F73C3A">
              <w:rPr>
                <w:rStyle w:val="Hyperlink"/>
                <w:rFonts w:ascii="Calibri" w:hAnsi="Calibri"/>
                <w:noProof/>
                <w:color w:val="262626" w:themeColor="text1" w:themeTint="D9"/>
              </w:rPr>
              <w:t>No prior start</w:t>
            </w:r>
            <w:r w:rsidR="00E51202" w:rsidRPr="00F73C3A">
              <w:rPr>
                <w:rFonts w:ascii="Calibri" w:hAnsi="Calibri"/>
                <w:noProof/>
                <w:webHidden/>
                <w:color w:val="262626" w:themeColor="text1" w:themeTint="D9"/>
              </w:rPr>
              <w:tab/>
            </w:r>
            <w:r w:rsidR="00CB314F" w:rsidRPr="00F73C3A">
              <w:rPr>
                <w:rFonts w:ascii="Calibri" w:hAnsi="Calibri"/>
                <w:noProof/>
                <w:webHidden/>
                <w:color w:val="262626" w:themeColor="text1" w:themeTint="D9"/>
              </w:rPr>
              <w:fldChar w:fldCharType="begin"/>
            </w:r>
            <w:r w:rsidR="00E51202" w:rsidRPr="00F73C3A">
              <w:rPr>
                <w:rFonts w:ascii="Calibri" w:hAnsi="Calibri"/>
                <w:noProof/>
                <w:webHidden/>
                <w:color w:val="262626" w:themeColor="text1" w:themeTint="D9"/>
              </w:rPr>
              <w:instrText xml:space="preserve"> PAGEREF _Toc349308478 \h </w:instrText>
            </w:r>
            <w:r w:rsidR="00CB314F" w:rsidRPr="00F73C3A">
              <w:rPr>
                <w:rFonts w:ascii="Calibri" w:hAnsi="Calibri"/>
                <w:noProof/>
                <w:webHidden/>
                <w:color w:val="262626" w:themeColor="text1" w:themeTint="D9"/>
              </w:rPr>
            </w:r>
            <w:r w:rsidR="00CB314F" w:rsidRPr="00F73C3A">
              <w:rPr>
                <w:rFonts w:ascii="Calibri" w:hAnsi="Calibri"/>
                <w:noProof/>
                <w:webHidden/>
                <w:color w:val="262626" w:themeColor="text1" w:themeTint="D9"/>
              </w:rPr>
              <w:fldChar w:fldCharType="separate"/>
            </w:r>
            <w:r w:rsidR="00324E8C" w:rsidRPr="00F73C3A">
              <w:rPr>
                <w:rFonts w:ascii="Calibri" w:hAnsi="Calibri"/>
                <w:noProof/>
                <w:webHidden/>
                <w:color w:val="262626" w:themeColor="text1" w:themeTint="D9"/>
              </w:rPr>
              <w:t>15</w:t>
            </w:r>
            <w:r w:rsidR="00CB314F" w:rsidRPr="00F73C3A">
              <w:rPr>
                <w:rFonts w:ascii="Calibri" w:hAnsi="Calibri"/>
                <w:noProof/>
                <w:webHidden/>
                <w:color w:val="262626" w:themeColor="text1" w:themeTint="D9"/>
              </w:rPr>
              <w:fldChar w:fldCharType="end"/>
            </w:r>
          </w:hyperlink>
        </w:p>
        <w:p w:rsidR="00E51202" w:rsidRPr="00F73C3A" w:rsidRDefault="00E51202" w:rsidP="00E51202">
          <w:pPr>
            <w:pStyle w:val="TOC1"/>
            <w:rPr>
              <w:rFonts w:ascii="Calibri" w:hAnsi="Calibri"/>
              <w:b w:val="0"/>
              <w:color w:val="262626" w:themeColor="text1" w:themeTint="D9"/>
              <w:sz w:val="22"/>
              <w:lang w:val="en-GB" w:eastAsia="en-GB"/>
            </w:rPr>
          </w:pPr>
        </w:p>
        <w:p w:rsidR="00E51202" w:rsidRPr="00F73C3A" w:rsidRDefault="00E51202" w:rsidP="00E51202">
          <w:pPr>
            <w:pStyle w:val="TOC2"/>
            <w:tabs>
              <w:tab w:val="right" w:pos="9072"/>
            </w:tabs>
            <w:rPr>
              <w:rFonts w:ascii="Calibri" w:hAnsi="Calibri"/>
              <w:noProof/>
              <w:color w:val="262626" w:themeColor="text1" w:themeTint="D9"/>
              <w:sz w:val="22"/>
              <w:lang w:val="en-GB" w:eastAsia="en-GB"/>
            </w:rPr>
          </w:pPr>
        </w:p>
        <w:p w:rsidR="00E51202" w:rsidRPr="00F73C3A" w:rsidRDefault="00E51202" w:rsidP="00E51202">
          <w:pPr>
            <w:pStyle w:val="TOC2"/>
            <w:tabs>
              <w:tab w:val="right" w:pos="9072"/>
            </w:tabs>
            <w:rPr>
              <w:rFonts w:ascii="Calibri" w:hAnsi="Calibri"/>
              <w:noProof/>
              <w:color w:val="262626" w:themeColor="text1" w:themeTint="D9"/>
              <w:sz w:val="22"/>
              <w:lang w:val="en-GB" w:eastAsia="en-GB"/>
            </w:rPr>
          </w:pPr>
        </w:p>
        <w:p w:rsidR="00E51202" w:rsidRPr="00F73C3A" w:rsidRDefault="00E51202" w:rsidP="00E51202">
          <w:pPr>
            <w:pStyle w:val="TOC2"/>
            <w:tabs>
              <w:tab w:val="right" w:pos="9072"/>
            </w:tabs>
            <w:rPr>
              <w:rFonts w:ascii="Calibri" w:hAnsi="Calibri"/>
              <w:noProof/>
              <w:color w:val="262626" w:themeColor="text1" w:themeTint="D9"/>
              <w:sz w:val="22"/>
              <w:lang w:val="en-GB" w:eastAsia="en-GB"/>
            </w:rPr>
          </w:pPr>
        </w:p>
        <w:p w:rsidR="00E51202" w:rsidRPr="00F73C3A" w:rsidRDefault="00E51202" w:rsidP="00E51202">
          <w:pPr>
            <w:pStyle w:val="TOC2"/>
            <w:tabs>
              <w:tab w:val="right" w:pos="9072"/>
            </w:tabs>
            <w:rPr>
              <w:rFonts w:ascii="Calibri" w:hAnsi="Calibri"/>
              <w:noProof/>
              <w:color w:val="262626" w:themeColor="text1" w:themeTint="D9"/>
              <w:sz w:val="22"/>
              <w:lang w:val="en-GB" w:eastAsia="en-GB"/>
            </w:rPr>
          </w:pPr>
        </w:p>
        <w:p w:rsidR="00E51202" w:rsidRPr="00F73C3A" w:rsidRDefault="00E51202" w:rsidP="00E51202">
          <w:pPr>
            <w:pStyle w:val="TOC2"/>
            <w:tabs>
              <w:tab w:val="right" w:pos="9072"/>
            </w:tabs>
            <w:rPr>
              <w:rFonts w:ascii="Calibri" w:hAnsi="Calibri"/>
              <w:noProof/>
              <w:color w:val="262626" w:themeColor="text1" w:themeTint="D9"/>
              <w:sz w:val="22"/>
              <w:lang w:val="en-GB" w:eastAsia="en-GB"/>
            </w:rPr>
          </w:pPr>
        </w:p>
        <w:p w:rsidR="00E51202" w:rsidRPr="00F73C3A" w:rsidRDefault="00E51202" w:rsidP="00E51202">
          <w:pPr>
            <w:pStyle w:val="TOC2"/>
            <w:tabs>
              <w:tab w:val="right" w:pos="9072"/>
            </w:tabs>
            <w:rPr>
              <w:rFonts w:ascii="Calibri" w:hAnsi="Calibri"/>
              <w:noProof/>
              <w:color w:val="262626" w:themeColor="text1" w:themeTint="D9"/>
              <w:sz w:val="22"/>
              <w:lang w:val="en-GB" w:eastAsia="en-GB"/>
            </w:rPr>
          </w:pPr>
        </w:p>
        <w:p w:rsidR="00E51202" w:rsidRPr="00F73C3A" w:rsidRDefault="00E51202" w:rsidP="00E51202">
          <w:pPr>
            <w:pStyle w:val="TOC2"/>
            <w:tabs>
              <w:tab w:val="right" w:pos="9072"/>
            </w:tabs>
            <w:rPr>
              <w:rFonts w:ascii="Calibri" w:hAnsi="Calibri"/>
              <w:noProof/>
              <w:color w:val="262626" w:themeColor="text1" w:themeTint="D9"/>
              <w:sz w:val="22"/>
              <w:lang w:val="en-GB" w:eastAsia="en-GB"/>
            </w:rPr>
          </w:pPr>
        </w:p>
        <w:p w:rsidR="00E51202" w:rsidRPr="00F73C3A" w:rsidRDefault="00E51202" w:rsidP="00E51202">
          <w:pPr>
            <w:pStyle w:val="TOC2"/>
            <w:tabs>
              <w:tab w:val="right" w:pos="9072"/>
            </w:tabs>
            <w:rPr>
              <w:rFonts w:ascii="Calibri" w:hAnsi="Calibri"/>
              <w:noProof/>
              <w:color w:val="262626" w:themeColor="text1" w:themeTint="D9"/>
              <w:sz w:val="22"/>
              <w:lang w:val="en-GB" w:eastAsia="en-GB"/>
            </w:rPr>
          </w:pPr>
        </w:p>
        <w:p w:rsidR="00E51202" w:rsidRPr="00F73C3A" w:rsidRDefault="00E51202" w:rsidP="00E51202">
          <w:pPr>
            <w:pStyle w:val="TOC1"/>
            <w:rPr>
              <w:rFonts w:ascii="Calibri" w:hAnsi="Calibri"/>
              <w:b w:val="0"/>
              <w:color w:val="262626" w:themeColor="text1" w:themeTint="D9"/>
              <w:sz w:val="22"/>
              <w:lang w:val="en-GB" w:eastAsia="en-GB"/>
            </w:rPr>
          </w:pPr>
        </w:p>
        <w:p w:rsidR="00E51202" w:rsidRPr="00F73C3A" w:rsidRDefault="00E51202" w:rsidP="00E51202">
          <w:pPr>
            <w:pStyle w:val="TOC2"/>
            <w:tabs>
              <w:tab w:val="right" w:pos="9072"/>
            </w:tabs>
            <w:rPr>
              <w:rFonts w:ascii="Calibri" w:hAnsi="Calibri"/>
              <w:noProof/>
              <w:color w:val="262626" w:themeColor="text1" w:themeTint="D9"/>
              <w:sz w:val="22"/>
              <w:lang w:val="en-GB" w:eastAsia="en-GB"/>
            </w:rPr>
          </w:pPr>
        </w:p>
        <w:p w:rsidR="00E51202" w:rsidRPr="00F73C3A" w:rsidRDefault="00E51202" w:rsidP="00E51202">
          <w:pPr>
            <w:pStyle w:val="TOC2"/>
            <w:tabs>
              <w:tab w:val="right" w:pos="9072"/>
            </w:tabs>
            <w:rPr>
              <w:rFonts w:ascii="Calibri" w:hAnsi="Calibri"/>
              <w:noProof/>
              <w:color w:val="262626" w:themeColor="text1" w:themeTint="D9"/>
              <w:sz w:val="22"/>
              <w:lang w:val="en-GB" w:eastAsia="en-GB"/>
            </w:rPr>
          </w:pPr>
        </w:p>
        <w:p w:rsidR="00E51202" w:rsidRPr="00F73C3A" w:rsidRDefault="00E51202" w:rsidP="00E51202">
          <w:pPr>
            <w:pStyle w:val="TOC2"/>
            <w:tabs>
              <w:tab w:val="right" w:pos="9072"/>
            </w:tabs>
            <w:rPr>
              <w:rFonts w:ascii="Calibri" w:hAnsi="Calibri"/>
              <w:noProof/>
              <w:color w:val="262626" w:themeColor="text1" w:themeTint="D9"/>
              <w:sz w:val="22"/>
              <w:lang w:val="en-GB" w:eastAsia="en-GB"/>
            </w:rPr>
          </w:pPr>
        </w:p>
        <w:p w:rsidR="00E51202" w:rsidRPr="00F73C3A" w:rsidRDefault="00F73C3A" w:rsidP="00E51202">
          <w:pPr>
            <w:pStyle w:val="TOC1"/>
            <w:rPr>
              <w:rFonts w:ascii="Calibri" w:hAnsi="Calibri"/>
              <w:b w:val="0"/>
              <w:color w:val="262626" w:themeColor="text1" w:themeTint="D9"/>
              <w:sz w:val="22"/>
              <w:lang w:val="en-GB" w:eastAsia="en-GB"/>
            </w:rPr>
          </w:pPr>
          <w:hyperlink w:anchor="_Toc349308521" w:history="1">
            <w:r w:rsidR="00E51202" w:rsidRPr="00F73C3A">
              <w:rPr>
                <w:rStyle w:val="Hyperlink"/>
                <w:rFonts w:ascii="Calibri" w:hAnsi="Calibri"/>
                <w:color w:val="262626" w:themeColor="text1" w:themeTint="D9"/>
              </w:rPr>
              <w:t>ANNEX A: DEFINITIONS</w:t>
            </w:r>
            <w:r w:rsidR="00E51202" w:rsidRPr="00F73C3A">
              <w:rPr>
                <w:rFonts w:ascii="Calibri" w:hAnsi="Calibri"/>
                <w:webHidden/>
                <w:color w:val="262626" w:themeColor="text1" w:themeTint="D9"/>
              </w:rPr>
              <w:tab/>
            </w:r>
          </w:hyperlink>
          <w:r w:rsidR="00474C6D">
            <w:rPr>
              <w:rFonts w:ascii="Calibri" w:hAnsi="Calibri"/>
              <w:color w:val="262626" w:themeColor="text1" w:themeTint="D9"/>
            </w:rPr>
            <w:t>16</w:t>
          </w:r>
        </w:p>
        <w:p w:rsidR="00E51202" w:rsidRPr="00F73C3A" w:rsidRDefault="00F73C3A" w:rsidP="00E51202">
          <w:pPr>
            <w:pStyle w:val="TOC1"/>
            <w:rPr>
              <w:rFonts w:ascii="Calibri" w:hAnsi="Calibri"/>
              <w:b w:val="0"/>
              <w:color w:val="262626" w:themeColor="text1" w:themeTint="D9"/>
              <w:sz w:val="22"/>
              <w:lang w:val="en-GB" w:eastAsia="en-GB"/>
            </w:rPr>
          </w:pPr>
          <w:hyperlink w:anchor="_Toc349308522" w:history="1">
            <w:r w:rsidR="00E51202" w:rsidRPr="00F73C3A">
              <w:rPr>
                <w:rStyle w:val="Hyperlink"/>
                <w:rFonts w:ascii="Calibri" w:hAnsi="Calibri"/>
                <w:color w:val="262626" w:themeColor="text1" w:themeTint="D9"/>
              </w:rPr>
              <w:t>ANNEX B: “ANNEX 1” AGRICULTURAL PRODUCTS</w:t>
            </w:r>
            <w:r w:rsidR="00E51202" w:rsidRPr="00F73C3A">
              <w:rPr>
                <w:rFonts w:ascii="Calibri" w:hAnsi="Calibri"/>
                <w:webHidden/>
                <w:color w:val="262626" w:themeColor="text1" w:themeTint="D9"/>
              </w:rPr>
              <w:tab/>
            </w:r>
          </w:hyperlink>
          <w:r w:rsidR="00474C6D">
            <w:rPr>
              <w:rFonts w:ascii="Calibri" w:hAnsi="Calibri"/>
              <w:color w:val="262626" w:themeColor="text1" w:themeTint="D9"/>
            </w:rPr>
            <w:t>20</w:t>
          </w:r>
        </w:p>
        <w:p w:rsidR="00E51202" w:rsidRPr="00F73C3A" w:rsidRDefault="00F73C3A" w:rsidP="00E51202">
          <w:pPr>
            <w:pStyle w:val="TOC1"/>
            <w:rPr>
              <w:rFonts w:ascii="Calibri" w:hAnsi="Calibri"/>
              <w:b w:val="0"/>
              <w:color w:val="262626" w:themeColor="text1" w:themeTint="D9"/>
              <w:sz w:val="22"/>
              <w:lang w:val="en-GB" w:eastAsia="en-GB"/>
            </w:rPr>
          </w:pPr>
          <w:hyperlink w:anchor="_Toc349308523" w:history="1">
            <w:r w:rsidR="00E51202" w:rsidRPr="00F73C3A">
              <w:rPr>
                <w:rStyle w:val="Hyperlink"/>
                <w:rFonts w:ascii="Calibri" w:hAnsi="Calibri"/>
                <w:color w:val="262626" w:themeColor="text1" w:themeTint="D9"/>
              </w:rPr>
              <w:t xml:space="preserve">ANNEX C: </w:t>
            </w:r>
            <w:r w:rsidR="00612905" w:rsidRPr="00F73C3A">
              <w:rPr>
                <w:rStyle w:val="Hyperlink"/>
                <w:rFonts w:ascii="Calibri" w:hAnsi="Calibri"/>
                <w:color w:val="262626" w:themeColor="text1" w:themeTint="D9"/>
              </w:rPr>
              <w:t>CUMBRIA</w:t>
            </w:r>
            <w:r w:rsidR="00E51202" w:rsidRPr="00F73C3A">
              <w:rPr>
                <w:rStyle w:val="Hyperlink"/>
                <w:rFonts w:ascii="Calibri" w:hAnsi="Calibri"/>
                <w:color w:val="262626" w:themeColor="text1" w:themeTint="D9"/>
              </w:rPr>
              <w:t xml:space="preserve"> </w:t>
            </w:r>
            <w:r w:rsidR="00DC57EB" w:rsidRPr="00F73C3A">
              <w:rPr>
                <w:rStyle w:val="Hyperlink"/>
                <w:rFonts w:ascii="Calibri" w:hAnsi="Calibri"/>
                <w:color w:val="262626" w:themeColor="text1" w:themeTint="D9"/>
              </w:rPr>
              <w:t xml:space="preserve">ASSISTED AREA </w:t>
            </w:r>
            <w:r w:rsidR="00E51202" w:rsidRPr="00F73C3A">
              <w:rPr>
                <w:rStyle w:val="Hyperlink"/>
                <w:rFonts w:ascii="Calibri" w:hAnsi="Calibri"/>
                <w:color w:val="262626" w:themeColor="text1" w:themeTint="D9"/>
              </w:rPr>
              <w:t>WARDS</w:t>
            </w:r>
            <w:r w:rsidR="00E51202" w:rsidRPr="00F73C3A">
              <w:rPr>
                <w:rFonts w:ascii="Calibri" w:hAnsi="Calibri"/>
                <w:webHidden/>
                <w:color w:val="262626" w:themeColor="text1" w:themeTint="D9"/>
              </w:rPr>
              <w:tab/>
            </w:r>
            <w:r w:rsidR="00CB314F" w:rsidRPr="00F73C3A">
              <w:rPr>
                <w:rFonts w:ascii="Calibri" w:hAnsi="Calibri"/>
                <w:webHidden/>
                <w:color w:val="262626" w:themeColor="text1" w:themeTint="D9"/>
              </w:rPr>
              <w:fldChar w:fldCharType="begin"/>
            </w:r>
            <w:r w:rsidR="00E51202" w:rsidRPr="00F73C3A">
              <w:rPr>
                <w:rFonts w:ascii="Calibri" w:hAnsi="Calibri"/>
                <w:webHidden/>
                <w:color w:val="262626" w:themeColor="text1" w:themeTint="D9"/>
              </w:rPr>
              <w:instrText xml:space="preserve"> PAGEREF _Toc349308523 \h </w:instrText>
            </w:r>
            <w:r w:rsidR="00CB314F" w:rsidRPr="00F73C3A">
              <w:rPr>
                <w:rFonts w:ascii="Calibri" w:hAnsi="Calibri"/>
                <w:webHidden/>
                <w:color w:val="262626" w:themeColor="text1" w:themeTint="D9"/>
              </w:rPr>
            </w:r>
            <w:r w:rsidR="00CB314F" w:rsidRPr="00F73C3A">
              <w:rPr>
                <w:rFonts w:ascii="Calibri" w:hAnsi="Calibri"/>
                <w:webHidden/>
                <w:color w:val="262626" w:themeColor="text1" w:themeTint="D9"/>
              </w:rPr>
              <w:fldChar w:fldCharType="end"/>
            </w:r>
          </w:hyperlink>
          <w:r w:rsidR="00474C6D">
            <w:rPr>
              <w:rFonts w:ascii="Calibri" w:hAnsi="Calibri"/>
              <w:color w:val="262626" w:themeColor="text1" w:themeTint="D9"/>
            </w:rPr>
            <w:t>22</w:t>
          </w:r>
        </w:p>
        <w:p w:rsidR="00E51202" w:rsidRPr="00F73C3A" w:rsidRDefault="00F73C3A" w:rsidP="00E51202">
          <w:pPr>
            <w:pStyle w:val="TOC1"/>
            <w:rPr>
              <w:rFonts w:ascii="Calibri" w:hAnsi="Calibri"/>
              <w:b w:val="0"/>
              <w:color w:val="262626" w:themeColor="text1" w:themeTint="D9"/>
              <w:sz w:val="22"/>
              <w:lang w:val="en-GB" w:eastAsia="en-GB"/>
            </w:rPr>
          </w:pPr>
          <w:hyperlink w:anchor="_Toc349308524" w:history="1">
            <w:r w:rsidR="00E51202" w:rsidRPr="00F73C3A">
              <w:rPr>
                <w:rStyle w:val="Hyperlink"/>
                <w:rFonts w:ascii="Calibri" w:hAnsi="Calibri"/>
                <w:color w:val="262626" w:themeColor="text1" w:themeTint="D9"/>
              </w:rPr>
              <w:t>ANNEX D: ELIGIBLE COSTS FOR R&amp;D PROJECTS</w:t>
            </w:r>
            <w:r w:rsidR="00E51202" w:rsidRPr="00F73C3A">
              <w:rPr>
                <w:rFonts w:ascii="Calibri" w:hAnsi="Calibri"/>
                <w:webHidden/>
                <w:color w:val="262626" w:themeColor="text1" w:themeTint="D9"/>
              </w:rPr>
              <w:tab/>
            </w:r>
            <w:r w:rsidR="00CB314F" w:rsidRPr="00F73C3A">
              <w:rPr>
                <w:rFonts w:ascii="Calibri" w:hAnsi="Calibri"/>
                <w:webHidden/>
                <w:color w:val="262626" w:themeColor="text1" w:themeTint="D9"/>
              </w:rPr>
              <w:fldChar w:fldCharType="begin"/>
            </w:r>
            <w:r w:rsidR="00E51202" w:rsidRPr="00F73C3A">
              <w:rPr>
                <w:rFonts w:ascii="Calibri" w:hAnsi="Calibri"/>
                <w:webHidden/>
                <w:color w:val="262626" w:themeColor="text1" w:themeTint="D9"/>
              </w:rPr>
              <w:instrText xml:space="preserve"> PAGEREF _Toc349308524 \h </w:instrText>
            </w:r>
            <w:r w:rsidR="00CB314F" w:rsidRPr="00F73C3A">
              <w:rPr>
                <w:rFonts w:ascii="Calibri" w:hAnsi="Calibri"/>
                <w:webHidden/>
                <w:color w:val="262626" w:themeColor="text1" w:themeTint="D9"/>
              </w:rPr>
            </w:r>
            <w:r w:rsidR="00CB314F" w:rsidRPr="00F73C3A">
              <w:rPr>
                <w:rFonts w:ascii="Calibri" w:hAnsi="Calibri"/>
                <w:webHidden/>
                <w:color w:val="262626" w:themeColor="text1" w:themeTint="D9"/>
              </w:rPr>
              <w:fldChar w:fldCharType="end"/>
            </w:r>
          </w:hyperlink>
          <w:r w:rsidR="00474C6D">
            <w:rPr>
              <w:rFonts w:ascii="Calibri" w:hAnsi="Calibri"/>
              <w:color w:val="262626" w:themeColor="text1" w:themeTint="D9"/>
            </w:rPr>
            <w:t>24</w:t>
          </w:r>
          <w:bookmarkStart w:id="0" w:name="_GoBack"/>
          <w:bookmarkEnd w:id="0"/>
        </w:p>
        <w:p w:rsidR="00522BCB" w:rsidRPr="00F73C3A" w:rsidRDefault="00CB314F" w:rsidP="00E51202">
          <w:pPr>
            <w:tabs>
              <w:tab w:val="right" w:pos="9072"/>
            </w:tabs>
            <w:rPr>
              <w:rFonts w:ascii="Calibri" w:hAnsi="Calibri"/>
              <w:color w:val="262626" w:themeColor="text1" w:themeTint="D9"/>
            </w:rPr>
          </w:pPr>
          <w:r w:rsidRPr="00F73C3A">
            <w:rPr>
              <w:rFonts w:ascii="Calibri" w:hAnsi="Calibri"/>
              <w:b/>
              <w:bCs/>
              <w:noProof/>
              <w:color w:val="262626" w:themeColor="text1" w:themeTint="D9"/>
            </w:rPr>
            <w:fldChar w:fldCharType="end"/>
          </w:r>
        </w:p>
      </w:sdtContent>
    </w:sdt>
    <w:p w:rsidR="000011CF" w:rsidRPr="00F73C3A" w:rsidRDefault="000011CF">
      <w:pPr>
        <w:rPr>
          <w:rFonts w:ascii="Calibri" w:hAnsi="Calibri" w:cs="Arial"/>
          <w:color w:val="262626" w:themeColor="text1" w:themeTint="D9"/>
        </w:rPr>
      </w:pPr>
    </w:p>
    <w:p w:rsidR="000011CF" w:rsidRPr="00F73C3A" w:rsidRDefault="000011CF">
      <w:pPr>
        <w:rPr>
          <w:rFonts w:ascii="Calibri" w:hAnsi="Calibri" w:cs="Arial"/>
          <w:color w:val="262626" w:themeColor="text1" w:themeTint="D9"/>
        </w:rPr>
      </w:pPr>
    </w:p>
    <w:p w:rsidR="000011CF" w:rsidRPr="00F73C3A" w:rsidRDefault="000011CF">
      <w:pPr>
        <w:rPr>
          <w:rFonts w:ascii="Calibri" w:hAnsi="Calibri" w:cs="Arial"/>
          <w:color w:val="262626" w:themeColor="text1" w:themeTint="D9"/>
        </w:rPr>
      </w:pPr>
    </w:p>
    <w:p w:rsidR="004F4EE7" w:rsidRPr="00F73C3A" w:rsidRDefault="004F4EE7" w:rsidP="004F4EE7">
      <w:pPr>
        <w:pStyle w:val="Heading1"/>
        <w:ind w:firstLine="720"/>
        <w:rPr>
          <w:rFonts w:ascii="Calibri" w:hAnsi="Calibri"/>
          <w:color w:val="262626" w:themeColor="text1" w:themeTint="D9"/>
        </w:rPr>
      </w:pPr>
    </w:p>
    <w:p w:rsidR="001C7FBB" w:rsidRPr="00F73C3A" w:rsidRDefault="004F4EE7" w:rsidP="004F4EE7">
      <w:pPr>
        <w:tabs>
          <w:tab w:val="left" w:pos="670"/>
        </w:tabs>
        <w:rPr>
          <w:rFonts w:ascii="Calibri" w:hAnsi="Calibri"/>
          <w:color w:val="262626" w:themeColor="text1" w:themeTint="D9"/>
        </w:rPr>
        <w:sectPr w:rsidR="001C7FBB" w:rsidRPr="00F73C3A" w:rsidSect="00081966">
          <w:pgSz w:w="11906" w:h="16838" w:code="9"/>
          <w:pgMar w:top="1701" w:right="1134" w:bottom="1134" w:left="1134" w:header="709" w:footer="113" w:gutter="0"/>
          <w:cols w:space="708"/>
          <w:docGrid w:linePitch="360"/>
        </w:sectPr>
      </w:pPr>
      <w:r w:rsidRPr="00F73C3A">
        <w:rPr>
          <w:rFonts w:ascii="Calibri" w:hAnsi="Calibri"/>
          <w:color w:val="262626" w:themeColor="text1" w:themeTint="D9"/>
        </w:rPr>
        <w:tab/>
      </w:r>
    </w:p>
    <w:p w:rsidR="000011CF" w:rsidRPr="00F73C3A" w:rsidRDefault="000011CF" w:rsidP="00854ED5">
      <w:pPr>
        <w:pStyle w:val="Heading1"/>
        <w:rPr>
          <w:rFonts w:ascii="Calibri" w:hAnsi="Calibri"/>
          <w:color w:val="262626" w:themeColor="text1" w:themeTint="D9"/>
        </w:rPr>
      </w:pPr>
      <w:bookmarkStart w:id="1" w:name="_Toc349308459"/>
      <w:r w:rsidRPr="00F73C3A">
        <w:rPr>
          <w:rFonts w:ascii="Calibri" w:hAnsi="Calibri"/>
          <w:color w:val="262626" w:themeColor="text1" w:themeTint="D9"/>
        </w:rPr>
        <w:lastRenderedPageBreak/>
        <w:t>PART 1</w:t>
      </w:r>
      <w:r w:rsidR="00E32B13" w:rsidRPr="00F73C3A">
        <w:rPr>
          <w:rFonts w:ascii="Calibri" w:hAnsi="Calibri"/>
          <w:color w:val="262626" w:themeColor="text1" w:themeTint="D9"/>
        </w:rPr>
        <w:t xml:space="preserve">: </w:t>
      </w:r>
      <w:r w:rsidRPr="00F73C3A">
        <w:rPr>
          <w:rFonts w:ascii="Calibri" w:hAnsi="Calibri"/>
          <w:color w:val="262626" w:themeColor="text1" w:themeTint="D9"/>
        </w:rPr>
        <w:t>BACKGROUND</w:t>
      </w:r>
      <w:bookmarkEnd w:id="1"/>
    </w:p>
    <w:p w:rsidR="00CA6DB6" w:rsidRPr="00F73C3A" w:rsidRDefault="0037266B" w:rsidP="0037266B">
      <w:pPr>
        <w:tabs>
          <w:tab w:val="left" w:pos="1125"/>
        </w:tabs>
        <w:rPr>
          <w:rFonts w:ascii="Calibri" w:hAnsi="Calibri"/>
          <w:color w:val="262626" w:themeColor="text1" w:themeTint="D9"/>
        </w:rPr>
      </w:pPr>
      <w:r w:rsidRPr="00F73C3A">
        <w:rPr>
          <w:rFonts w:ascii="Calibri" w:hAnsi="Calibri"/>
          <w:color w:val="262626" w:themeColor="text1" w:themeTint="D9"/>
        </w:rPr>
        <w:tab/>
      </w:r>
    </w:p>
    <w:p w:rsidR="00CA6DB6" w:rsidRPr="00F73C3A" w:rsidRDefault="00CA6DB6" w:rsidP="00CA6DB6">
      <w:pPr>
        <w:rPr>
          <w:rFonts w:ascii="Calibri" w:hAnsi="Calibri"/>
          <w:color w:val="262626" w:themeColor="text1" w:themeTint="D9"/>
        </w:rPr>
      </w:pPr>
      <w:r w:rsidRPr="00F73C3A">
        <w:rPr>
          <w:rFonts w:ascii="Calibri" w:hAnsi="Calibri"/>
          <w:color w:val="262626" w:themeColor="text1" w:themeTint="D9"/>
        </w:rPr>
        <w:t xml:space="preserve">The </w:t>
      </w:r>
      <w:r w:rsidR="00612905" w:rsidRPr="00F73C3A">
        <w:rPr>
          <w:rFonts w:ascii="Calibri" w:hAnsi="Calibri"/>
          <w:color w:val="262626" w:themeColor="text1" w:themeTint="D9"/>
        </w:rPr>
        <w:t>Cumbria Growth Fund</w:t>
      </w:r>
      <w:r w:rsidRPr="00F73C3A">
        <w:rPr>
          <w:rFonts w:ascii="Calibri" w:hAnsi="Calibri"/>
          <w:color w:val="262626" w:themeColor="text1" w:themeTint="D9"/>
        </w:rPr>
        <w:t xml:space="preserve"> RGF Programme (</w:t>
      </w:r>
      <w:r w:rsidR="0037385C" w:rsidRPr="00F73C3A">
        <w:rPr>
          <w:rFonts w:ascii="Calibri" w:hAnsi="Calibri"/>
          <w:color w:val="262626" w:themeColor="text1" w:themeTint="D9"/>
        </w:rPr>
        <w:t>CGF</w:t>
      </w:r>
      <w:r w:rsidRPr="00F73C3A">
        <w:rPr>
          <w:rFonts w:ascii="Calibri" w:hAnsi="Calibri"/>
          <w:color w:val="262626" w:themeColor="text1" w:themeTint="D9"/>
        </w:rPr>
        <w:t xml:space="preserve">) is administered by </w:t>
      </w:r>
      <w:r w:rsidR="00612905" w:rsidRPr="00F73C3A">
        <w:rPr>
          <w:rFonts w:ascii="Calibri" w:hAnsi="Calibri"/>
          <w:color w:val="262626" w:themeColor="text1" w:themeTint="D9"/>
        </w:rPr>
        <w:t>Cumbria Chamber of Comme</w:t>
      </w:r>
      <w:r w:rsidR="0037385C" w:rsidRPr="00F73C3A">
        <w:rPr>
          <w:rFonts w:ascii="Calibri" w:hAnsi="Calibri"/>
          <w:color w:val="262626" w:themeColor="text1" w:themeTint="D9"/>
        </w:rPr>
        <w:t>rce</w:t>
      </w:r>
      <w:r w:rsidRPr="00F73C3A">
        <w:rPr>
          <w:rFonts w:ascii="Calibri" w:hAnsi="Calibri"/>
          <w:color w:val="262626" w:themeColor="text1" w:themeTint="D9"/>
        </w:rPr>
        <w:t>, a company</w:t>
      </w:r>
      <w:r w:rsidR="00612905" w:rsidRPr="00F73C3A">
        <w:rPr>
          <w:rFonts w:ascii="Calibri" w:hAnsi="Calibri"/>
          <w:color w:val="262626" w:themeColor="text1" w:themeTint="D9"/>
        </w:rPr>
        <w:t xml:space="preserve"> limited by guarantee and</w:t>
      </w:r>
      <w:r w:rsidRPr="00F73C3A">
        <w:rPr>
          <w:rFonts w:ascii="Calibri" w:hAnsi="Calibri"/>
          <w:color w:val="262626" w:themeColor="text1" w:themeTint="D9"/>
        </w:rPr>
        <w:t xml:space="preserve"> registered in Engl</w:t>
      </w:r>
      <w:r w:rsidR="00612905" w:rsidRPr="00F73C3A">
        <w:rPr>
          <w:rFonts w:ascii="Calibri" w:hAnsi="Calibri"/>
          <w:color w:val="262626" w:themeColor="text1" w:themeTint="D9"/>
        </w:rPr>
        <w:t>and, registration number 04211364</w:t>
      </w:r>
      <w:r w:rsidRPr="00F73C3A">
        <w:rPr>
          <w:rFonts w:ascii="Calibri" w:hAnsi="Calibri"/>
          <w:color w:val="262626" w:themeColor="text1" w:themeTint="D9"/>
        </w:rPr>
        <w:t>.</w:t>
      </w:r>
    </w:p>
    <w:p w:rsidR="00CA6DB6" w:rsidRPr="00F73C3A" w:rsidRDefault="00CA6DB6" w:rsidP="00CA6DB6">
      <w:pPr>
        <w:rPr>
          <w:rFonts w:ascii="Calibri" w:hAnsi="Calibri"/>
          <w:color w:val="262626" w:themeColor="text1" w:themeTint="D9"/>
          <w:szCs w:val="18"/>
        </w:rPr>
      </w:pPr>
      <w:r w:rsidRPr="00F73C3A">
        <w:rPr>
          <w:rFonts w:ascii="Calibri" w:hAnsi="Calibri"/>
          <w:color w:val="262626" w:themeColor="text1" w:themeTint="D9"/>
        </w:rPr>
        <w:t xml:space="preserve">The </w:t>
      </w:r>
      <w:r w:rsidR="0037385C" w:rsidRPr="00F73C3A">
        <w:rPr>
          <w:rFonts w:ascii="Calibri" w:hAnsi="Calibri"/>
          <w:color w:val="262626" w:themeColor="text1" w:themeTint="D9"/>
        </w:rPr>
        <w:t>Chamber</w:t>
      </w:r>
      <w:r w:rsidRPr="00F73C3A">
        <w:rPr>
          <w:rFonts w:ascii="Calibri" w:hAnsi="Calibri"/>
          <w:color w:val="262626" w:themeColor="text1" w:themeTint="D9"/>
        </w:rPr>
        <w:t xml:space="preserve"> has received </w:t>
      </w:r>
      <w:r w:rsidR="00612905" w:rsidRPr="00F73C3A">
        <w:rPr>
          <w:rFonts w:ascii="Calibri" w:hAnsi="Calibri"/>
          <w:color w:val="262626" w:themeColor="text1" w:themeTint="D9"/>
        </w:rPr>
        <w:t>an</w:t>
      </w:r>
      <w:r w:rsidRPr="00F73C3A">
        <w:rPr>
          <w:rFonts w:ascii="Calibri" w:hAnsi="Calibri"/>
          <w:color w:val="262626" w:themeColor="text1" w:themeTint="D9"/>
        </w:rPr>
        <w:t xml:space="preserve"> offer of up to £</w:t>
      </w:r>
      <w:r w:rsidR="00612905" w:rsidRPr="00F73C3A">
        <w:rPr>
          <w:rFonts w:ascii="Calibri" w:hAnsi="Calibri"/>
          <w:color w:val="262626" w:themeColor="text1" w:themeTint="D9"/>
        </w:rPr>
        <w:t>4</w:t>
      </w:r>
      <w:r w:rsidRPr="00F73C3A">
        <w:rPr>
          <w:rFonts w:ascii="Calibri" w:hAnsi="Calibri"/>
          <w:color w:val="262626" w:themeColor="text1" w:themeTint="D9"/>
        </w:rPr>
        <w:t xml:space="preserve">,000,000 from the Department of Business, Innovation and Skills (BIS) from Round </w:t>
      </w:r>
      <w:r w:rsidR="00612905" w:rsidRPr="00F73C3A">
        <w:rPr>
          <w:rFonts w:ascii="Calibri" w:hAnsi="Calibri"/>
          <w:color w:val="262626" w:themeColor="text1" w:themeTint="D9"/>
        </w:rPr>
        <w:t>6</w:t>
      </w:r>
      <w:r w:rsidRPr="00F73C3A">
        <w:rPr>
          <w:rFonts w:ascii="Calibri" w:hAnsi="Calibri"/>
          <w:color w:val="262626" w:themeColor="text1" w:themeTint="D9"/>
        </w:rPr>
        <w:t xml:space="preserve"> of the Regional Growth Fund (RGF). RGF</w:t>
      </w:r>
      <w:r w:rsidRPr="00F73C3A">
        <w:rPr>
          <w:rFonts w:ascii="Calibri" w:hAnsi="Calibri"/>
          <w:color w:val="262626" w:themeColor="text1" w:themeTint="D9"/>
          <w:szCs w:val="18"/>
        </w:rPr>
        <w:t xml:space="preserve"> is a £3.2bn fund operating across England from 2011 to 2017. It supports projects and programmes that lever private sector investment creating economic growth and sustainable employment. It aims particularly to help those areas and communities currently dependent on the public sector to make the transition to sustainable private sector-led growth and prosperity.</w:t>
      </w:r>
    </w:p>
    <w:p w:rsidR="00CA6DB6" w:rsidRPr="00F73C3A" w:rsidRDefault="0037385C" w:rsidP="00CA6DB6">
      <w:pPr>
        <w:tabs>
          <w:tab w:val="right" w:pos="7088"/>
        </w:tabs>
        <w:rPr>
          <w:rFonts w:ascii="Calibri" w:hAnsi="Calibri"/>
          <w:color w:val="262626" w:themeColor="text1" w:themeTint="D9"/>
          <w:szCs w:val="18"/>
        </w:rPr>
      </w:pPr>
      <w:r w:rsidRPr="00F73C3A">
        <w:rPr>
          <w:rFonts w:ascii="Calibri" w:hAnsi="Calibri"/>
          <w:color w:val="262626" w:themeColor="text1" w:themeTint="D9"/>
          <w:szCs w:val="18"/>
        </w:rPr>
        <w:t>Cumbria Growth Fund</w:t>
      </w:r>
      <w:r w:rsidR="00CA6DB6" w:rsidRPr="00F73C3A">
        <w:rPr>
          <w:rFonts w:ascii="Calibri" w:hAnsi="Calibri"/>
          <w:color w:val="262626" w:themeColor="text1" w:themeTint="D9"/>
          <w:szCs w:val="18"/>
        </w:rPr>
        <w:t xml:space="preserve"> aims to achieve those objectives by offering grants to businesses </w:t>
      </w:r>
      <w:r w:rsidRPr="00F73C3A">
        <w:rPr>
          <w:rFonts w:ascii="Calibri" w:hAnsi="Calibri"/>
          <w:color w:val="262626" w:themeColor="text1" w:themeTint="D9"/>
          <w:szCs w:val="18"/>
        </w:rPr>
        <w:t xml:space="preserve">of all sizes </w:t>
      </w:r>
      <w:r w:rsidR="00CA6DB6" w:rsidRPr="00F73C3A">
        <w:rPr>
          <w:rFonts w:ascii="Calibri" w:hAnsi="Calibri"/>
          <w:color w:val="262626" w:themeColor="text1" w:themeTint="D9"/>
          <w:szCs w:val="18"/>
        </w:rPr>
        <w:t xml:space="preserve">in </w:t>
      </w:r>
      <w:r w:rsidR="00612905" w:rsidRPr="00F73C3A">
        <w:rPr>
          <w:rFonts w:ascii="Calibri" w:hAnsi="Calibri"/>
          <w:color w:val="262626" w:themeColor="text1" w:themeTint="D9"/>
          <w:szCs w:val="18"/>
        </w:rPr>
        <w:t>Cumbria</w:t>
      </w:r>
      <w:r w:rsidRPr="00F73C3A">
        <w:rPr>
          <w:rFonts w:ascii="Calibri" w:hAnsi="Calibri"/>
          <w:color w:val="262626" w:themeColor="text1" w:themeTint="D9"/>
          <w:szCs w:val="18"/>
        </w:rPr>
        <w:t xml:space="preserve"> and established businesses elsewhere setting up an operation in the county</w:t>
      </w:r>
      <w:r w:rsidR="00CA6DB6" w:rsidRPr="00F73C3A">
        <w:rPr>
          <w:rFonts w:ascii="Calibri" w:hAnsi="Calibri"/>
          <w:color w:val="262626" w:themeColor="text1" w:themeTint="D9"/>
          <w:szCs w:val="18"/>
        </w:rPr>
        <w:t xml:space="preserve"> to encourage investment which will create new jobs or safeguard existing jobs</w:t>
      </w:r>
      <w:r w:rsidRPr="00F73C3A">
        <w:rPr>
          <w:rFonts w:ascii="Calibri" w:hAnsi="Calibri"/>
          <w:color w:val="262626" w:themeColor="text1" w:themeTint="D9"/>
          <w:szCs w:val="18"/>
        </w:rPr>
        <w:t>, promoting competitiveness, sustainability and growth</w:t>
      </w:r>
      <w:r w:rsidR="00CA6DB6" w:rsidRPr="00F73C3A">
        <w:rPr>
          <w:rFonts w:ascii="Calibri" w:hAnsi="Calibri"/>
          <w:color w:val="262626" w:themeColor="text1" w:themeTint="D9"/>
          <w:szCs w:val="18"/>
        </w:rPr>
        <w:t xml:space="preserve">. </w:t>
      </w:r>
    </w:p>
    <w:p w:rsidR="00CA6DB6" w:rsidRPr="00F73C3A" w:rsidRDefault="00CA6DB6" w:rsidP="00CA6DB6">
      <w:pPr>
        <w:rPr>
          <w:rFonts w:ascii="Calibri" w:hAnsi="Calibri" w:cs="Arial"/>
          <w:color w:val="262626" w:themeColor="text1" w:themeTint="D9"/>
        </w:rPr>
      </w:pPr>
      <w:r w:rsidRPr="00F73C3A">
        <w:rPr>
          <w:rFonts w:ascii="Calibri" w:hAnsi="Calibri"/>
          <w:color w:val="262626" w:themeColor="text1" w:themeTint="D9"/>
          <w:szCs w:val="18"/>
        </w:rPr>
        <w:t xml:space="preserve">The Fund will be run </w:t>
      </w:r>
      <w:r w:rsidR="0037385C" w:rsidRPr="00F73C3A">
        <w:rPr>
          <w:rFonts w:ascii="Calibri" w:hAnsi="Calibri"/>
          <w:color w:val="262626" w:themeColor="text1" w:themeTint="D9"/>
          <w:szCs w:val="18"/>
        </w:rPr>
        <w:t xml:space="preserve">primarily </w:t>
      </w:r>
      <w:r w:rsidR="004F4EE7" w:rsidRPr="00F73C3A">
        <w:rPr>
          <w:rFonts w:ascii="Calibri" w:hAnsi="Calibri"/>
          <w:color w:val="262626" w:themeColor="text1" w:themeTint="D9"/>
          <w:szCs w:val="18"/>
        </w:rPr>
        <w:t>as a monthly</w:t>
      </w:r>
      <w:r w:rsidRPr="00F73C3A">
        <w:rPr>
          <w:rFonts w:ascii="Calibri" w:hAnsi="Calibri"/>
          <w:color w:val="262626" w:themeColor="text1" w:themeTint="D9"/>
          <w:szCs w:val="18"/>
        </w:rPr>
        <w:t xml:space="preserve"> competition with closing dates for applications published on the </w:t>
      </w:r>
      <w:r w:rsidR="00612905" w:rsidRPr="00F73C3A">
        <w:rPr>
          <w:rFonts w:ascii="Calibri" w:hAnsi="Calibri"/>
          <w:color w:val="262626" w:themeColor="text1" w:themeTint="D9"/>
          <w:szCs w:val="18"/>
        </w:rPr>
        <w:t>Chamber’s</w:t>
      </w:r>
      <w:r w:rsidRPr="00F73C3A">
        <w:rPr>
          <w:rFonts w:ascii="Calibri" w:hAnsi="Calibri"/>
          <w:color w:val="262626" w:themeColor="text1" w:themeTint="D9"/>
          <w:szCs w:val="18"/>
        </w:rPr>
        <w:t xml:space="preserve"> website</w:t>
      </w:r>
      <w:r w:rsidR="0037385C" w:rsidRPr="00F73C3A">
        <w:rPr>
          <w:rFonts w:ascii="Calibri" w:hAnsi="Calibri"/>
          <w:color w:val="262626" w:themeColor="text1" w:themeTint="D9"/>
          <w:szCs w:val="18"/>
        </w:rPr>
        <w:t xml:space="preserve"> and </w:t>
      </w:r>
      <w:r w:rsidR="0037266B" w:rsidRPr="00F73C3A">
        <w:rPr>
          <w:rFonts w:ascii="Calibri" w:hAnsi="Calibri"/>
          <w:color w:val="262626" w:themeColor="text1" w:themeTint="D9"/>
          <w:szCs w:val="18"/>
        </w:rPr>
        <w:t xml:space="preserve">Cumbria Business Growth Hub web portal and </w:t>
      </w:r>
      <w:r w:rsidR="0037385C" w:rsidRPr="00F73C3A">
        <w:rPr>
          <w:rFonts w:ascii="Calibri" w:hAnsi="Calibri"/>
          <w:color w:val="262626" w:themeColor="text1" w:themeTint="D9"/>
          <w:szCs w:val="18"/>
        </w:rPr>
        <w:t xml:space="preserve">in </w:t>
      </w:r>
      <w:r w:rsidR="0037266B" w:rsidRPr="00F73C3A">
        <w:rPr>
          <w:rFonts w:ascii="Calibri" w:hAnsi="Calibri"/>
          <w:color w:val="262626" w:themeColor="text1" w:themeTint="D9"/>
          <w:szCs w:val="18"/>
        </w:rPr>
        <w:t xml:space="preserve">CN </w:t>
      </w:r>
      <w:r w:rsidR="000A081E" w:rsidRPr="00F73C3A">
        <w:rPr>
          <w:rFonts w:ascii="Calibri" w:hAnsi="Calibri"/>
          <w:color w:val="262626" w:themeColor="text1" w:themeTint="D9"/>
          <w:szCs w:val="18"/>
        </w:rPr>
        <w:t xml:space="preserve">Group </w:t>
      </w:r>
      <w:r w:rsidR="0037266B" w:rsidRPr="00F73C3A">
        <w:rPr>
          <w:rFonts w:ascii="Calibri" w:hAnsi="Calibri"/>
          <w:color w:val="262626" w:themeColor="text1" w:themeTint="D9"/>
          <w:szCs w:val="18"/>
        </w:rPr>
        <w:t>pu</w:t>
      </w:r>
      <w:r w:rsidR="0037385C" w:rsidRPr="00F73C3A">
        <w:rPr>
          <w:rFonts w:ascii="Calibri" w:hAnsi="Calibri"/>
          <w:color w:val="262626" w:themeColor="text1" w:themeTint="D9"/>
          <w:szCs w:val="18"/>
        </w:rPr>
        <w:t>blications.</w:t>
      </w:r>
    </w:p>
    <w:p w:rsidR="00CA6DB6" w:rsidRPr="00F73C3A" w:rsidRDefault="00CA6DB6" w:rsidP="0002758E">
      <w:pPr>
        <w:pStyle w:val="Heading2"/>
        <w:rPr>
          <w:rFonts w:ascii="Calibri" w:hAnsi="Calibri"/>
          <w:color w:val="262626" w:themeColor="text1" w:themeTint="D9"/>
        </w:rPr>
      </w:pPr>
      <w:bookmarkStart w:id="2" w:name="_Toc385964241"/>
      <w:r w:rsidRPr="00F73C3A">
        <w:rPr>
          <w:rFonts w:ascii="Calibri" w:hAnsi="Calibri"/>
          <w:color w:val="262626" w:themeColor="text1" w:themeTint="D9"/>
        </w:rPr>
        <w:t>Application process</w:t>
      </w:r>
      <w:bookmarkEnd w:id="2"/>
    </w:p>
    <w:p w:rsidR="00CA6DB6" w:rsidRPr="00F73C3A" w:rsidRDefault="000A081E" w:rsidP="00267150">
      <w:pPr>
        <w:spacing w:after="0"/>
        <w:rPr>
          <w:rFonts w:ascii="Calibri" w:hAnsi="Calibri"/>
          <w:color w:val="262626" w:themeColor="text1" w:themeTint="D9"/>
        </w:rPr>
      </w:pPr>
      <w:r w:rsidRPr="00F73C3A">
        <w:rPr>
          <w:rFonts w:ascii="Calibri" w:hAnsi="Calibri"/>
          <w:color w:val="262626" w:themeColor="text1" w:themeTint="D9"/>
        </w:rPr>
        <w:t>The application process is competitive. G</w:t>
      </w:r>
      <w:r w:rsidR="00CA6DB6" w:rsidRPr="00F73C3A">
        <w:rPr>
          <w:rFonts w:ascii="Calibri" w:hAnsi="Calibri"/>
          <w:color w:val="262626" w:themeColor="text1" w:themeTint="D9"/>
        </w:rPr>
        <w:t>rants may be offered to projects that:</w:t>
      </w:r>
    </w:p>
    <w:p w:rsidR="00CA6DB6" w:rsidRPr="00F73C3A" w:rsidRDefault="00CA6DB6" w:rsidP="00F61707">
      <w:pPr>
        <w:pStyle w:val="ListParagraph"/>
        <w:numPr>
          <w:ilvl w:val="0"/>
          <w:numId w:val="24"/>
        </w:numPr>
        <w:spacing w:after="0" w:line="276" w:lineRule="auto"/>
        <w:rPr>
          <w:rFonts w:ascii="Calibri" w:hAnsi="Calibri"/>
          <w:color w:val="262626" w:themeColor="text1" w:themeTint="D9"/>
        </w:rPr>
      </w:pPr>
      <w:r w:rsidRPr="00F73C3A">
        <w:rPr>
          <w:rFonts w:ascii="Calibri" w:hAnsi="Calibri"/>
          <w:color w:val="262626" w:themeColor="text1" w:themeTint="D9"/>
        </w:rPr>
        <w:t>offer good value for money, measured by the value of the grant offered per new job created</w:t>
      </w:r>
      <w:r w:rsidR="000A081E" w:rsidRPr="00F73C3A">
        <w:rPr>
          <w:rFonts w:ascii="Calibri" w:hAnsi="Calibri"/>
          <w:color w:val="262626" w:themeColor="text1" w:themeTint="D9"/>
        </w:rPr>
        <w:t>/existing job safeguarded</w:t>
      </w:r>
    </w:p>
    <w:p w:rsidR="00CA6DB6" w:rsidRPr="00F73C3A" w:rsidRDefault="00CA6DB6" w:rsidP="00F61707">
      <w:pPr>
        <w:pStyle w:val="ListParagraph"/>
        <w:numPr>
          <w:ilvl w:val="0"/>
          <w:numId w:val="24"/>
        </w:numPr>
        <w:spacing w:after="0" w:line="276" w:lineRule="auto"/>
        <w:rPr>
          <w:rFonts w:ascii="Calibri" w:hAnsi="Calibri"/>
          <w:color w:val="262626" w:themeColor="text1" w:themeTint="D9"/>
        </w:rPr>
      </w:pPr>
      <w:r w:rsidRPr="00F73C3A">
        <w:rPr>
          <w:rFonts w:ascii="Calibri" w:hAnsi="Calibri"/>
          <w:color w:val="262626" w:themeColor="text1" w:themeTint="D9"/>
        </w:rPr>
        <w:t xml:space="preserve">make a clear </w:t>
      </w:r>
      <w:r w:rsidR="000A081E" w:rsidRPr="00F73C3A">
        <w:rPr>
          <w:rFonts w:ascii="Calibri" w:hAnsi="Calibri"/>
          <w:color w:val="262626" w:themeColor="text1" w:themeTint="D9"/>
        </w:rPr>
        <w:t xml:space="preserve">and reasonable </w:t>
      </w:r>
      <w:r w:rsidRPr="00F73C3A">
        <w:rPr>
          <w:rFonts w:ascii="Calibri" w:hAnsi="Calibri"/>
          <w:color w:val="262626" w:themeColor="text1" w:themeTint="D9"/>
        </w:rPr>
        <w:t>case for needing grant support</w:t>
      </w:r>
    </w:p>
    <w:p w:rsidR="00CA6DB6" w:rsidRPr="00F73C3A" w:rsidRDefault="00CA6DB6" w:rsidP="00F61707">
      <w:pPr>
        <w:pStyle w:val="ListParagraph"/>
        <w:numPr>
          <w:ilvl w:val="0"/>
          <w:numId w:val="24"/>
        </w:numPr>
        <w:spacing w:after="0" w:line="276" w:lineRule="auto"/>
        <w:rPr>
          <w:rFonts w:ascii="Calibri" w:hAnsi="Calibri"/>
          <w:color w:val="262626" w:themeColor="text1" w:themeTint="D9"/>
        </w:rPr>
      </w:pPr>
      <w:r w:rsidRPr="00F73C3A">
        <w:rPr>
          <w:rFonts w:ascii="Calibri" w:hAnsi="Calibri"/>
          <w:color w:val="262626" w:themeColor="text1" w:themeTint="D9"/>
        </w:rPr>
        <w:t>have adequate</w:t>
      </w:r>
      <w:r w:rsidR="000A081E" w:rsidRPr="00F73C3A">
        <w:rPr>
          <w:rFonts w:ascii="Calibri" w:hAnsi="Calibri"/>
          <w:color w:val="262626" w:themeColor="text1" w:themeTint="D9"/>
        </w:rPr>
        <w:t xml:space="preserve"> private sector funding towards the balance of the </w:t>
      </w:r>
      <w:r w:rsidRPr="00F73C3A">
        <w:rPr>
          <w:rFonts w:ascii="Calibri" w:hAnsi="Calibri"/>
          <w:color w:val="262626" w:themeColor="text1" w:themeTint="D9"/>
        </w:rPr>
        <w:t>project</w:t>
      </w:r>
    </w:p>
    <w:p w:rsidR="00CA6DB6" w:rsidRPr="00F73C3A" w:rsidRDefault="00CA6DB6" w:rsidP="00F61707">
      <w:pPr>
        <w:pStyle w:val="ListParagraph"/>
        <w:numPr>
          <w:ilvl w:val="0"/>
          <w:numId w:val="24"/>
        </w:numPr>
        <w:spacing w:after="0" w:line="276" w:lineRule="auto"/>
        <w:rPr>
          <w:rFonts w:ascii="Calibri" w:hAnsi="Calibri"/>
          <w:color w:val="262626" w:themeColor="text1" w:themeTint="D9"/>
        </w:rPr>
      </w:pPr>
      <w:r w:rsidRPr="00F73C3A">
        <w:rPr>
          <w:rFonts w:ascii="Calibri" w:hAnsi="Calibri"/>
          <w:color w:val="262626" w:themeColor="text1" w:themeTint="D9"/>
        </w:rPr>
        <w:t>comply with State Aid regulations</w:t>
      </w:r>
    </w:p>
    <w:p w:rsidR="00CA6DB6" w:rsidRPr="00F73C3A" w:rsidRDefault="00CA6DB6" w:rsidP="00F61707">
      <w:pPr>
        <w:pStyle w:val="ListParagraph"/>
        <w:numPr>
          <w:ilvl w:val="0"/>
          <w:numId w:val="24"/>
        </w:numPr>
        <w:spacing w:after="0" w:line="276" w:lineRule="auto"/>
        <w:rPr>
          <w:rFonts w:ascii="Calibri" w:hAnsi="Calibri"/>
          <w:color w:val="262626" w:themeColor="text1" w:themeTint="D9"/>
        </w:rPr>
      </w:pPr>
      <w:r w:rsidRPr="00F73C3A">
        <w:rPr>
          <w:rFonts w:ascii="Calibri" w:hAnsi="Calibri"/>
          <w:color w:val="262626" w:themeColor="text1" w:themeTint="D9"/>
        </w:rPr>
        <w:t>can complete within the required timescales</w:t>
      </w:r>
    </w:p>
    <w:p w:rsidR="000A081E" w:rsidRPr="00F73C3A" w:rsidRDefault="000A081E" w:rsidP="00267150">
      <w:pPr>
        <w:spacing w:after="0"/>
        <w:rPr>
          <w:rFonts w:ascii="Calibri" w:hAnsi="Calibri"/>
          <w:color w:val="262626" w:themeColor="text1" w:themeTint="D9"/>
        </w:rPr>
      </w:pPr>
    </w:p>
    <w:p w:rsidR="000A081E" w:rsidRPr="00F73C3A" w:rsidRDefault="0037385C" w:rsidP="00267150">
      <w:pPr>
        <w:spacing w:after="0"/>
        <w:rPr>
          <w:rFonts w:ascii="Calibri" w:hAnsi="Calibri"/>
          <w:color w:val="262626" w:themeColor="text1" w:themeTint="D9"/>
        </w:rPr>
      </w:pPr>
      <w:r w:rsidRPr="00F73C3A">
        <w:rPr>
          <w:rFonts w:ascii="Calibri" w:hAnsi="Calibri"/>
          <w:color w:val="262626" w:themeColor="text1" w:themeTint="D9"/>
        </w:rPr>
        <w:t>G</w:t>
      </w:r>
      <w:r w:rsidR="00062088" w:rsidRPr="00F73C3A">
        <w:rPr>
          <w:rFonts w:ascii="Calibri" w:hAnsi="Calibri"/>
          <w:color w:val="262626" w:themeColor="text1" w:themeTint="D9"/>
        </w:rPr>
        <w:t xml:space="preserve">rants are discretionary and </w:t>
      </w:r>
      <w:r w:rsidR="000A081E" w:rsidRPr="00F73C3A">
        <w:rPr>
          <w:rFonts w:ascii="Calibri" w:hAnsi="Calibri"/>
          <w:color w:val="262626" w:themeColor="text1" w:themeTint="D9"/>
        </w:rPr>
        <w:t>there is no obligation on the Chamber to offer grants even where all the above criteria appear to have been met.</w:t>
      </w:r>
    </w:p>
    <w:p w:rsidR="000A081E" w:rsidRPr="00F73C3A" w:rsidRDefault="000A081E" w:rsidP="00267150">
      <w:pPr>
        <w:spacing w:after="0"/>
        <w:rPr>
          <w:rFonts w:ascii="Calibri" w:hAnsi="Calibri"/>
          <w:color w:val="262626" w:themeColor="text1" w:themeTint="D9"/>
        </w:rPr>
      </w:pPr>
    </w:p>
    <w:p w:rsidR="00CA6DB6" w:rsidRPr="00F73C3A" w:rsidRDefault="00CA6DB6" w:rsidP="00267150">
      <w:pPr>
        <w:spacing w:after="0"/>
        <w:rPr>
          <w:rFonts w:ascii="Calibri" w:hAnsi="Calibri"/>
          <w:color w:val="262626" w:themeColor="text1" w:themeTint="D9"/>
        </w:rPr>
      </w:pPr>
      <w:r w:rsidRPr="00F73C3A">
        <w:rPr>
          <w:rFonts w:ascii="Calibri" w:hAnsi="Calibri"/>
          <w:color w:val="262626" w:themeColor="text1" w:themeTint="D9"/>
        </w:rPr>
        <w:t>The application process comprises the f</w:t>
      </w:r>
      <w:r w:rsidR="00A10EBD" w:rsidRPr="00F73C3A">
        <w:rPr>
          <w:rFonts w:ascii="Calibri" w:hAnsi="Calibri"/>
          <w:color w:val="262626" w:themeColor="text1" w:themeTint="D9"/>
        </w:rPr>
        <w:t>ollowing stages</w:t>
      </w:r>
      <w:r w:rsidRPr="00F73C3A">
        <w:rPr>
          <w:rFonts w:ascii="Calibri" w:hAnsi="Calibri"/>
          <w:color w:val="262626" w:themeColor="text1" w:themeTint="D9"/>
        </w:rPr>
        <w:t>:</w:t>
      </w:r>
    </w:p>
    <w:p w:rsidR="0037385C" w:rsidRPr="00F73C3A" w:rsidRDefault="0037385C" w:rsidP="0037385C">
      <w:pPr>
        <w:pStyle w:val="ListParagraph"/>
        <w:spacing w:after="0" w:line="276" w:lineRule="auto"/>
        <w:rPr>
          <w:rFonts w:ascii="Calibri" w:hAnsi="Calibri"/>
          <w:color w:val="262626" w:themeColor="text1" w:themeTint="D9"/>
        </w:rPr>
      </w:pPr>
    </w:p>
    <w:p w:rsidR="00F73C3A" w:rsidRPr="00F73C3A" w:rsidRDefault="00CA6DB6" w:rsidP="0037385C">
      <w:pPr>
        <w:pStyle w:val="ListParagraph"/>
        <w:numPr>
          <w:ilvl w:val="0"/>
          <w:numId w:val="59"/>
        </w:numPr>
        <w:spacing w:after="0" w:line="276" w:lineRule="auto"/>
        <w:rPr>
          <w:rFonts w:ascii="Calibri" w:hAnsi="Calibri"/>
          <w:color w:val="262626" w:themeColor="text1" w:themeTint="D9"/>
        </w:rPr>
      </w:pPr>
      <w:r w:rsidRPr="00F73C3A">
        <w:rPr>
          <w:rFonts w:ascii="Calibri" w:hAnsi="Calibri"/>
          <w:color w:val="262626" w:themeColor="text1" w:themeTint="D9"/>
          <w:szCs w:val="18"/>
        </w:rPr>
        <w:t xml:space="preserve">Submission of an Expression of Interest </w:t>
      </w:r>
      <w:r w:rsidR="00267150" w:rsidRPr="00F73C3A">
        <w:rPr>
          <w:rFonts w:ascii="Calibri" w:hAnsi="Calibri"/>
          <w:color w:val="262626" w:themeColor="text1" w:themeTint="D9"/>
          <w:szCs w:val="18"/>
        </w:rPr>
        <w:t xml:space="preserve">(EOI) </w:t>
      </w:r>
      <w:r w:rsidR="0037385C" w:rsidRPr="00F73C3A">
        <w:rPr>
          <w:rFonts w:ascii="Calibri" w:hAnsi="Calibri"/>
          <w:color w:val="262626" w:themeColor="text1" w:themeTint="D9"/>
          <w:szCs w:val="18"/>
        </w:rPr>
        <w:t xml:space="preserve">form </w:t>
      </w:r>
      <w:r w:rsidRPr="00F73C3A">
        <w:rPr>
          <w:rFonts w:ascii="Calibri" w:hAnsi="Calibri"/>
          <w:color w:val="262626" w:themeColor="text1" w:themeTint="D9"/>
          <w:szCs w:val="18"/>
        </w:rPr>
        <w:t>which can be found at</w:t>
      </w:r>
      <w:r w:rsidR="00F73C3A">
        <w:rPr>
          <w:rFonts w:ascii="Calibri" w:hAnsi="Calibri"/>
          <w:color w:val="262626" w:themeColor="text1" w:themeTint="D9"/>
          <w:szCs w:val="18"/>
        </w:rPr>
        <w:t xml:space="preserve"> </w:t>
      </w:r>
      <w:hyperlink r:id="rId12" w:history="1">
        <w:r w:rsidR="00F73C3A" w:rsidRPr="00AF2CCA">
          <w:rPr>
            <w:rStyle w:val="Hyperlink"/>
            <w:rFonts w:ascii="Calibri" w:hAnsi="Calibri"/>
            <w:szCs w:val="18"/>
            <w14:textFill>
              <w14:solidFill>
                <w14:srgbClr w14:val="0000FF">
                  <w14:lumMod w14:val="85000"/>
                  <w14:lumOff w14:val="15000"/>
                </w14:srgbClr>
              </w14:solidFill>
            </w14:textFill>
          </w:rPr>
          <w:t>www.cumbriachamber.co.uk</w:t>
        </w:r>
      </w:hyperlink>
      <w:r w:rsidR="00F73C3A">
        <w:rPr>
          <w:rFonts w:ascii="Calibri" w:hAnsi="Calibri"/>
          <w:color w:val="262626" w:themeColor="text1" w:themeTint="D9"/>
          <w:szCs w:val="18"/>
        </w:rPr>
        <w:t>.</w:t>
      </w:r>
    </w:p>
    <w:p w:rsidR="0037385C" w:rsidRPr="00F73C3A" w:rsidRDefault="0037385C" w:rsidP="0037385C">
      <w:pPr>
        <w:pStyle w:val="ListParagraph"/>
        <w:spacing w:after="0" w:line="276" w:lineRule="auto"/>
        <w:rPr>
          <w:rFonts w:ascii="Calibri" w:hAnsi="Calibri"/>
          <w:color w:val="262626" w:themeColor="text1" w:themeTint="D9"/>
        </w:rPr>
      </w:pPr>
    </w:p>
    <w:p w:rsidR="00267150" w:rsidRPr="00F73C3A" w:rsidRDefault="00267150" w:rsidP="0037385C">
      <w:pPr>
        <w:pStyle w:val="ListParagraph"/>
        <w:numPr>
          <w:ilvl w:val="0"/>
          <w:numId w:val="59"/>
        </w:numPr>
        <w:spacing w:after="0" w:line="276" w:lineRule="auto"/>
        <w:rPr>
          <w:rFonts w:ascii="Calibri" w:hAnsi="Calibri"/>
          <w:color w:val="262626" w:themeColor="text1" w:themeTint="D9"/>
        </w:rPr>
      </w:pPr>
      <w:r w:rsidRPr="00F73C3A">
        <w:rPr>
          <w:rFonts w:ascii="Calibri" w:hAnsi="Calibri"/>
          <w:color w:val="262626" w:themeColor="text1" w:themeTint="D9"/>
          <w:szCs w:val="18"/>
        </w:rPr>
        <w:t>Review of the EOI against scheme criteria.</w:t>
      </w:r>
      <w:r w:rsidR="00CA6DB6" w:rsidRPr="00F73C3A">
        <w:rPr>
          <w:rFonts w:ascii="Calibri" w:hAnsi="Calibri"/>
          <w:color w:val="262626" w:themeColor="text1" w:themeTint="D9"/>
          <w:szCs w:val="18"/>
        </w:rPr>
        <w:t xml:space="preserve">  </w:t>
      </w:r>
    </w:p>
    <w:p w:rsidR="0037385C" w:rsidRPr="00F73C3A" w:rsidRDefault="0037385C" w:rsidP="0037385C">
      <w:pPr>
        <w:pStyle w:val="ListParagraph"/>
        <w:spacing w:after="0" w:line="276" w:lineRule="auto"/>
        <w:rPr>
          <w:rFonts w:ascii="Calibri" w:hAnsi="Calibri"/>
          <w:color w:val="262626" w:themeColor="text1" w:themeTint="D9"/>
        </w:rPr>
      </w:pPr>
    </w:p>
    <w:p w:rsidR="00CA6DB6" w:rsidRPr="00F73C3A" w:rsidRDefault="00267150" w:rsidP="0037385C">
      <w:pPr>
        <w:pStyle w:val="ListParagraph"/>
        <w:numPr>
          <w:ilvl w:val="0"/>
          <w:numId w:val="59"/>
        </w:numPr>
        <w:spacing w:after="0" w:line="276" w:lineRule="auto"/>
        <w:rPr>
          <w:rFonts w:ascii="Calibri" w:hAnsi="Calibri"/>
          <w:color w:val="262626" w:themeColor="text1" w:themeTint="D9"/>
        </w:rPr>
      </w:pPr>
      <w:r w:rsidRPr="00F73C3A">
        <w:rPr>
          <w:rFonts w:ascii="Calibri" w:hAnsi="Calibri"/>
          <w:color w:val="262626" w:themeColor="text1" w:themeTint="D9"/>
          <w:szCs w:val="18"/>
        </w:rPr>
        <w:t>If the EOI is accepted, a</w:t>
      </w:r>
      <w:r w:rsidRPr="00F73C3A">
        <w:rPr>
          <w:rFonts w:ascii="Calibri" w:hAnsi="Calibri"/>
          <w:color w:val="262626" w:themeColor="text1" w:themeTint="D9"/>
        </w:rPr>
        <w:t xml:space="preserve"> full application will be invited</w:t>
      </w:r>
      <w:r w:rsidR="00CA6DB6" w:rsidRPr="00F73C3A">
        <w:rPr>
          <w:rFonts w:ascii="Calibri" w:hAnsi="Calibri"/>
          <w:color w:val="262626" w:themeColor="text1" w:themeTint="D9"/>
        </w:rPr>
        <w:t xml:space="preserve">. </w:t>
      </w:r>
      <w:r w:rsidR="004F4EE7" w:rsidRPr="00F73C3A">
        <w:rPr>
          <w:rFonts w:ascii="Calibri" w:hAnsi="Calibri"/>
          <w:color w:val="262626" w:themeColor="text1" w:themeTint="D9"/>
          <w:szCs w:val="18"/>
        </w:rPr>
        <w:t>There will be a monthly</w:t>
      </w:r>
      <w:r w:rsidRPr="00F73C3A">
        <w:rPr>
          <w:rFonts w:ascii="Calibri" w:hAnsi="Calibri"/>
          <w:color w:val="262626" w:themeColor="text1" w:themeTint="D9"/>
          <w:szCs w:val="18"/>
        </w:rPr>
        <w:t xml:space="preserve"> deadline (p</w:t>
      </w:r>
      <w:r w:rsidR="0037385C" w:rsidRPr="00F73C3A">
        <w:rPr>
          <w:rFonts w:ascii="Calibri" w:hAnsi="Calibri"/>
          <w:color w:val="262626" w:themeColor="text1" w:themeTint="D9"/>
          <w:szCs w:val="18"/>
        </w:rPr>
        <w:t>ublished on the Chamber website and</w:t>
      </w:r>
      <w:r w:rsidRPr="00F73C3A">
        <w:rPr>
          <w:rFonts w:ascii="Calibri" w:hAnsi="Calibri"/>
          <w:color w:val="262626" w:themeColor="text1" w:themeTint="D9"/>
          <w:szCs w:val="18"/>
        </w:rPr>
        <w:t xml:space="preserve"> Cumbria Business Growth Hub web portal and in CN Group publications) </w:t>
      </w:r>
      <w:r w:rsidR="00CA6DB6" w:rsidRPr="00F73C3A">
        <w:rPr>
          <w:rFonts w:ascii="Calibri" w:hAnsi="Calibri"/>
          <w:color w:val="262626" w:themeColor="text1" w:themeTint="D9"/>
          <w:szCs w:val="18"/>
        </w:rPr>
        <w:t>for submission of full applications</w:t>
      </w:r>
      <w:r w:rsidRPr="00F73C3A">
        <w:rPr>
          <w:rFonts w:ascii="Calibri" w:hAnsi="Calibri"/>
          <w:color w:val="262626" w:themeColor="text1" w:themeTint="D9"/>
          <w:szCs w:val="18"/>
        </w:rPr>
        <w:t>, with the opportunity, at the discretion of the Chamber, for consideration of individual applications between these deadlines where the opportunity is time dependent</w:t>
      </w:r>
      <w:r w:rsidR="00CA6DB6" w:rsidRPr="00F73C3A">
        <w:rPr>
          <w:rFonts w:ascii="Calibri" w:hAnsi="Calibri"/>
          <w:color w:val="262626" w:themeColor="text1" w:themeTint="D9"/>
          <w:szCs w:val="18"/>
        </w:rPr>
        <w:t>.</w:t>
      </w:r>
      <w:r w:rsidRPr="00F73C3A">
        <w:rPr>
          <w:rFonts w:ascii="Calibri" w:hAnsi="Calibri"/>
          <w:color w:val="262626" w:themeColor="text1" w:themeTint="D9"/>
          <w:szCs w:val="18"/>
        </w:rPr>
        <w:t xml:space="preserve"> Growth Hub advisers are available, at no charge to the applicant, to sup</w:t>
      </w:r>
      <w:r w:rsidR="0037385C" w:rsidRPr="00F73C3A">
        <w:rPr>
          <w:rFonts w:ascii="Calibri" w:hAnsi="Calibri"/>
          <w:color w:val="262626" w:themeColor="text1" w:themeTint="D9"/>
          <w:szCs w:val="18"/>
        </w:rPr>
        <w:t>port completion of applications by small and medium sized businesses (SMEs).</w:t>
      </w:r>
    </w:p>
    <w:p w:rsidR="0037385C" w:rsidRPr="00F73C3A" w:rsidRDefault="0037385C" w:rsidP="0037385C">
      <w:pPr>
        <w:pStyle w:val="ListParagraph"/>
        <w:spacing w:after="0" w:line="276" w:lineRule="auto"/>
        <w:rPr>
          <w:rFonts w:ascii="Calibri" w:hAnsi="Calibri"/>
          <w:color w:val="262626" w:themeColor="text1" w:themeTint="D9"/>
        </w:rPr>
      </w:pPr>
    </w:p>
    <w:p w:rsidR="0037385C" w:rsidRPr="00F73C3A" w:rsidRDefault="00CA6DB6" w:rsidP="0037385C">
      <w:pPr>
        <w:pStyle w:val="ListParagraph"/>
        <w:numPr>
          <w:ilvl w:val="0"/>
          <w:numId w:val="59"/>
        </w:numPr>
        <w:spacing w:after="0" w:line="276" w:lineRule="auto"/>
        <w:rPr>
          <w:rFonts w:ascii="Calibri" w:hAnsi="Calibri"/>
          <w:color w:val="262626" w:themeColor="text1" w:themeTint="D9"/>
        </w:rPr>
      </w:pPr>
      <w:r w:rsidRPr="00F73C3A">
        <w:rPr>
          <w:rFonts w:ascii="Calibri" w:hAnsi="Calibri"/>
          <w:color w:val="262626" w:themeColor="text1" w:themeTint="D9"/>
        </w:rPr>
        <w:t>Application Assessment</w:t>
      </w:r>
      <w:r w:rsidR="00267150" w:rsidRPr="00F73C3A">
        <w:rPr>
          <w:rFonts w:ascii="Calibri" w:hAnsi="Calibri"/>
          <w:color w:val="262626" w:themeColor="text1" w:themeTint="D9"/>
        </w:rPr>
        <w:t xml:space="preserve"> again</w:t>
      </w:r>
      <w:r w:rsidR="00040028" w:rsidRPr="00F73C3A">
        <w:rPr>
          <w:rFonts w:ascii="Calibri" w:hAnsi="Calibri"/>
          <w:color w:val="262626" w:themeColor="text1" w:themeTint="D9"/>
        </w:rPr>
        <w:t>st the</w:t>
      </w:r>
      <w:r w:rsidR="00267150" w:rsidRPr="00F73C3A">
        <w:rPr>
          <w:rFonts w:ascii="Calibri" w:hAnsi="Calibri"/>
          <w:color w:val="262626" w:themeColor="text1" w:themeTint="D9"/>
        </w:rPr>
        <w:t xml:space="preserve"> scheme criteria</w:t>
      </w:r>
      <w:r w:rsidR="0037385C" w:rsidRPr="00F73C3A">
        <w:rPr>
          <w:rFonts w:ascii="Calibri" w:hAnsi="Calibri"/>
          <w:color w:val="262626" w:themeColor="text1" w:themeTint="D9"/>
        </w:rPr>
        <w:t>, including light touch due diligence for applications up to £50,000, w</w:t>
      </w:r>
      <w:r w:rsidR="00267150" w:rsidRPr="00F73C3A">
        <w:rPr>
          <w:rFonts w:ascii="Calibri" w:hAnsi="Calibri"/>
          <w:color w:val="262626" w:themeColor="text1" w:themeTint="D9"/>
        </w:rPr>
        <w:t>ith recommendations made to an Investment Panel</w:t>
      </w:r>
      <w:r w:rsidR="0037385C" w:rsidRPr="00F73C3A">
        <w:rPr>
          <w:rFonts w:ascii="Calibri" w:hAnsi="Calibri"/>
          <w:color w:val="262626" w:themeColor="text1" w:themeTint="D9"/>
        </w:rPr>
        <w:t>.</w:t>
      </w:r>
    </w:p>
    <w:p w:rsidR="0037385C" w:rsidRPr="00F73C3A" w:rsidRDefault="0037385C" w:rsidP="0037385C">
      <w:pPr>
        <w:pStyle w:val="ListParagraph"/>
        <w:rPr>
          <w:rFonts w:ascii="Calibri" w:hAnsi="Calibri"/>
          <w:color w:val="262626" w:themeColor="text1" w:themeTint="D9"/>
        </w:rPr>
      </w:pPr>
    </w:p>
    <w:p w:rsidR="0037385C" w:rsidRPr="00F73C3A" w:rsidRDefault="00267150" w:rsidP="00E072E1">
      <w:pPr>
        <w:pStyle w:val="ListParagraph"/>
        <w:numPr>
          <w:ilvl w:val="0"/>
          <w:numId w:val="25"/>
        </w:numPr>
        <w:spacing w:after="0" w:line="276" w:lineRule="auto"/>
        <w:rPr>
          <w:rFonts w:ascii="Calibri" w:hAnsi="Calibri"/>
          <w:color w:val="262626" w:themeColor="text1" w:themeTint="D9"/>
        </w:rPr>
      </w:pPr>
      <w:r w:rsidRPr="00F73C3A">
        <w:rPr>
          <w:rFonts w:ascii="Calibri" w:hAnsi="Calibri"/>
          <w:color w:val="262626" w:themeColor="text1" w:themeTint="D9"/>
        </w:rPr>
        <w:t xml:space="preserve">Consideration by the </w:t>
      </w:r>
      <w:r w:rsidR="00CA6DB6" w:rsidRPr="00F73C3A">
        <w:rPr>
          <w:rFonts w:ascii="Calibri" w:hAnsi="Calibri"/>
          <w:color w:val="262626" w:themeColor="text1" w:themeTint="D9"/>
        </w:rPr>
        <w:t>Investment Panel.</w:t>
      </w:r>
      <w:r w:rsidR="00040028" w:rsidRPr="00F73C3A">
        <w:rPr>
          <w:rFonts w:ascii="Calibri" w:hAnsi="Calibri"/>
          <w:color w:val="262626" w:themeColor="text1" w:themeTint="D9"/>
        </w:rPr>
        <w:t xml:space="preserve"> Applications for £10,000 up to £50,000 which are approved by the Panel will be made a</w:t>
      </w:r>
      <w:r w:rsidR="00A10EBD" w:rsidRPr="00F73C3A">
        <w:rPr>
          <w:rFonts w:ascii="Calibri" w:hAnsi="Calibri"/>
          <w:color w:val="262626" w:themeColor="text1" w:themeTint="D9"/>
        </w:rPr>
        <w:t xml:space="preserve"> formal</w:t>
      </w:r>
      <w:r w:rsidR="00040028" w:rsidRPr="00F73C3A">
        <w:rPr>
          <w:rFonts w:ascii="Calibri" w:hAnsi="Calibri"/>
          <w:color w:val="262626" w:themeColor="text1" w:themeTint="D9"/>
        </w:rPr>
        <w:t xml:space="preserve"> offer</w:t>
      </w:r>
      <w:r w:rsidR="00A10EBD" w:rsidRPr="00F73C3A">
        <w:rPr>
          <w:rFonts w:ascii="Calibri" w:hAnsi="Calibri"/>
          <w:color w:val="262626" w:themeColor="text1" w:themeTint="D9"/>
        </w:rPr>
        <w:t xml:space="preserve"> of grant at this point</w:t>
      </w:r>
      <w:r w:rsidR="00040028" w:rsidRPr="00F73C3A">
        <w:rPr>
          <w:rFonts w:ascii="Calibri" w:hAnsi="Calibri"/>
          <w:color w:val="262626" w:themeColor="text1" w:themeTint="D9"/>
        </w:rPr>
        <w:t>. Applications for over £50,000 approved by the Panel will be made a provisional offer subject to successful com</w:t>
      </w:r>
      <w:r w:rsidR="009E1C5B" w:rsidRPr="00F73C3A">
        <w:rPr>
          <w:rFonts w:ascii="Calibri" w:hAnsi="Calibri"/>
          <w:color w:val="262626" w:themeColor="text1" w:themeTint="D9"/>
        </w:rPr>
        <w:t xml:space="preserve">pletion of full due diligence. </w:t>
      </w:r>
    </w:p>
    <w:p w:rsidR="00E072E1" w:rsidRPr="00F73C3A" w:rsidRDefault="00E072E1" w:rsidP="00E072E1">
      <w:pPr>
        <w:pStyle w:val="ListParagraph"/>
        <w:spacing w:after="0" w:line="276" w:lineRule="auto"/>
        <w:rPr>
          <w:rFonts w:ascii="Calibri" w:hAnsi="Calibri"/>
          <w:color w:val="262626" w:themeColor="text1" w:themeTint="D9"/>
        </w:rPr>
      </w:pPr>
    </w:p>
    <w:p w:rsidR="00CA6DB6" w:rsidRPr="00F73C3A" w:rsidRDefault="00CA6DB6" w:rsidP="00F61707">
      <w:pPr>
        <w:pStyle w:val="ListParagraph"/>
        <w:numPr>
          <w:ilvl w:val="0"/>
          <w:numId w:val="25"/>
        </w:numPr>
        <w:spacing w:after="0" w:line="276" w:lineRule="auto"/>
        <w:rPr>
          <w:rFonts w:ascii="Calibri" w:hAnsi="Calibri"/>
          <w:color w:val="262626" w:themeColor="text1" w:themeTint="D9"/>
        </w:rPr>
      </w:pPr>
      <w:r w:rsidRPr="00F73C3A">
        <w:rPr>
          <w:rFonts w:ascii="Calibri" w:hAnsi="Calibri"/>
          <w:color w:val="262626" w:themeColor="text1" w:themeTint="D9"/>
        </w:rPr>
        <w:lastRenderedPageBreak/>
        <w:t xml:space="preserve">Full </w:t>
      </w:r>
      <w:r w:rsidR="00040028" w:rsidRPr="00F73C3A">
        <w:rPr>
          <w:rFonts w:ascii="Calibri" w:hAnsi="Calibri"/>
          <w:color w:val="262626" w:themeColor="text1" w:themeTint="D9"/>
        </w:rPr>
        <w:t xml:space="preserve">due diligence </w:t>
      </w:r>
      <w:r w:rsidR="00612905" w:rsidRPr="00F73C3A">
        <w:rPr>
          <w:rFonts w:ascii="Calibri" w:hAnsi="Calibri"/>
          <w:color w:val="262626" w:themeColor="text1" w:themeTint="D9"/>
        </w:rPr>
        <w:t>for applications of over £50,000</w:t>
      </w:r>
      <w:r w:rsidRPr="00F73C3A">
        <w:rPr>
          <w:rFonts w:ascii="Calibri" w:hAnsi="Calibri"/>
          <w:color w:val="262626" w:themeColor="text1" w:themeTint="D9"/>
        </w:rPr>
        <w:t>.  A</w:t>
      </w:r>
      <w:r w:rsidR="00040028" w:rsidRPr="00F73C3A">
        <w:rPr>
          <w:rFonts w:ascii="Calibri" w:hAnsi="Calibri"/>
          <w:color w:val="262626" w:themeColor="text1" w:themeTint="D9"/>
        </w:rPr>
        <w:t xml:space="preserve"> due diligence</w:t>
      </w:r>
      <w:r w:rsidRPr="00F73C3A">
        <w:rPr>
          <w:rFonts w:ascii="Calibri" w:hAnsi="Calibri"/>
          <w:color w:val="262626" w:themeColor="text1" w:themeTint="D9"/>
        </w:rPr>
        <w:t xml:space="preserve"> fee (2% of the grant amount requested) is payable by the applicant before th</w:t>
      </w:r>
      <w:r w:rsidR="00040028" w:rsidRPr="00F73C3A">
        <w:rPr>
          <w:rFonts w:ascii="Calibri" w:hAnsi="Calibri"/>
          <w:color w:val="262626" w:themeColor="text1" w:themeTint="D9"/>
        </w:rPr>
        <w:t xml:space="preserve">is </w:t>
      </w:r>
      <w:r w:rsidRPr="00F73C3A">
        <w:rPr>
          <w:rFonts w:ascii="Calibri" w:hAnsi="Calibri"/>
          <w:color w:val="262626" w:themeColor="text1" w:themeTint="D9"/>
        </w:rPr>
        <w:t xml:space="preserve">commences. </w:t>
      </w:r>
      <w:r w:rsidRPr="00F73C3A">
        <w:rPr>
          <w:rFonts w:ascii="Calibri" w:hAnsi="Calibri"/>
          <w:color w:val="262626" w:themeColor="text1" w:themeTint="D9"/>
          <w:szCs w:val="18"/>
        </w:rPr>
        <w:t>Applicant</w:t>
      </w:r>
      <w:r w:rsidR="00040028" w:rsidRPr="00F73C3A">
        <w:rPr>
          <w:rFonts w:ascii="Calibri" w:hAnsi="Calibri"/>
          <w:color w:val="262626" w:themeColor="text1" w:themeTint="D9"/>
          <w:szCs w:val="18"/>
        </w:rPr>
        <w:t xml:space="preserve">s may be required </w:t>
      </w:r>
      <w:r w:rsidRPr="00F73C3A">
        <w:rPr>
          <w:rFonts w:ascii="Calibri" w:hAnsi="Calibri"/>
          <w:color w:val="262626" w:themeColor="text1" w:themeTint="D9"/>
          <w:szCs w:val="18"/>
        </w:rPr>
        <w:t>to submit further information</w:t>
      </w:r>
      <w:r w:rsidR="00040028" w:rsidRPr="00F73C3A">
        <w:rPr>
          <w:rFonts w:ascii="Calibri" w:hAnsi="Calibri"/>
          <w:color w:val="262626" w:themeColor="text1" w:themeTint="D9"/>
          <w:szCs w:val="18"/>
        </w:rPr>
        <w:t xml:space="preserve"> at this stage</w:t>
      </w:r>
      <w:r w:rsidRPr="00F73C3A">
        <w:rPr>
          <w:rFonts w:ascii="Calibri" w:hAnsi="Calibri"/>
          <w:color w:val="262626" w:themeColor="text1" w:themeTint="D9"/>
          <w:szCs w:val="18"/>
        </w:rPr>
        <w:t xml:space="preserve">. The </w:t>
      </w:r>
      <w:r w:rsidR="00040028" w:rsidRPr="00F73C3A">
        <w:rPr>
          <w:rFonts w:ascii="Calibri" w:hAnsi="Calibri"/>
          <w:color w:val="262626" w:themeColor="text1" w:themeTint="D9"/>
          <w:szCs w:val="18"/>
        </w:rPr>
        <w:t xml:space="preserve">due diligence </w:t>
      </w:r>
      <w:r w:rsidRPr="00F73C3A">
        <w:rPr>
          <w:rFonts w:ascii="Calibri" w:hAnsi="Calibri"/>
          <w:color w:val="262626" w:themeColor="text1" w:themeTint="D9"/>
          <w:szCs w:val="18"/>
        </w:rPr>
        <w:t>appraisal process is outline</w:t>
      </w:r>
      <w:r w:rsidR="00040028" w:rsidRPr="00F73C3A">
        <w:rPr>
          <w:rFonts w:ascii="Calibri" w:hAnsi="Calibri"/>
          <w:color w:val="262626" w:themeColor="text1" w:themeTint="D9"/>
          <w:szCs w:val="18"/>
        </w:rPr>
        <w:t xml:space="preserve">d in Part 3 </w:t>
      </w:r>
      <w:r w:rsidR="0037385C" w:rsidRPr="00F73C3A">
        <w:rPr>
          <w:rFonts w:ascii="Calibri" w:hAnsi="Calibri"/>
          <w:color w:val="262626" w:themeColor="text1" w:themeTint="D9"/>
          <w:szCs w:val="18"/>
        </w:rPr>
        <w:t xml:space="preserve">below </w:t>
      </w:r>
      <w:r w:rsidRPr="00F73C3A">
        <w:rPr>
          <w:rFonts w:ascii="Calibri" w:hAnsi="Calibri"/>
          <w:color w:val="262626" w:themeColor="text1" w:themeTint="D9"/>
          <w:szCs w:val="18"/>
        </w:rPr>
        <w:t>and will involve further investigation of the information submitted with the application</w:t>
      </w:r>
      <w:r w:rsidR="00040028" w:rsidRPr="00F73C3A">
        <w:rPr>
          <w:rFonts w:ascii="Calibri" w:hAnsi="Calibri"/>
          <w:color w:val="262626" w:themeColor="text1" w:themeTint="D9"/>
          <w:szCs w:val="18"/>
        </w:rPr>
        <w:t>. Th</w:t>
      </w:r>
      <w:r w:rsidRPr="00F73C3A">
        <w:rPr>
          <w:rFonts w:ascii="Calibri" w:hAnsi="Calibri"/>
          <w:color w:val="262626" w:themeColor="text1" w:themeTint="D9"/>
          <w:szCs w:val="18"/>
        </w:rPr>
        <w:t>e level of grant may be negotiated at this stage to ensure it is the minimum necessa</w:t>
      </w:r>
      <w:r w:rsidR="0037385C" w:rsidRPr="00F73C3A">
        <w:rPr>
          <w:rFonts w:ascii="Calibri" w:hAnsi="Calibri"/>
          <w:color w:val="262626" w:themeColor="text1" w:themeTint="D9"/>
          <w:szCs w:val="18"/>
        </w:rPr>
        <w:t>ry for the project to proceed</w:t>
      </w:r>
      <w:r w:rsidR="009E1C5B" w:rsidRPr="00F73C3A">
        <w:rPr>
          <w:rFonts w:ascii="Calibri" w:hAnsi="Calibri"/>
          <w:color w:val="262626" w:themeColor="text1" w:themeTint="D9"/>
          <w:szCs w:val="18"/>
        </w:rPr>
        <w:t xml:space="preserve"> and meets the State Aid criteria.</w:t>
      </w:r>
    </w:p>
    <w:p w:rsidR="009E1C5B" w:rsidRPr="00F73C3A" w:rsidRDefault="009E1C5B" w:rsidP="009E1C5B">
      <w:pPr>
        <w:pStyle w:val="ListParagraph"/>
        <w:rPr>
          <w:rFonts w:ascii="Calibri" w:hAnsi="Calibri"/>
          <w:color w:val="262626" w:themeColor="text1" w:themeTint="D9"/>
        </w:rPr>
      </w:pPr>
    </w:p>
    <w:p w:rsidR="00CA6DB6" w:rsidRPr="00F73C3A" w:rsidRDefault="00B87C67" w:rsidP="00F61707">
      <w:pPr>
        <w:pStyle w:val="ListParagraph"/>
        <w:numPr>
          <w:ilvl w:val="0"/>
          <w:numId w:val="25"/>
        </w:numPr>
        <w:spacing w:after="0" w:line="276" w:lineRule="auto"/>
        <w:rPr>
          <w:rFonts w:ascii="Calibri" w:hAnsi="Calibri"/>
          <w:color w:val="262626" w:themeColor="text1" w:themeTint="D9"/>
        </w:rPr>
      </w:pPr>
      <w:r w:rsidRPr="00F73C3A">
        <w:rPr>
          <w:rFonts w:ascii="Calibri" w:hAnsi="Calibri"/>
          <w:color w:val="262626" w:themeColor="text1" w:themeTint="D9"/>
        </w:rPr>
        <w:t>A formal offer is made with a</w:t>
      </w:r>
      <w:r w:rsidR="00E072E1" w:rsidRPr="00F73C3A">
        <w:rPr>
          <w:rFonts w:ascii="Calibri" w:hAnsi="Calibri"/>
          <w:color w:val="262626" w:themeColor="text1" w:themeTint="D9"/>
        </w:rPr>
        <w:t xml:space="preserve">n </w:t>
      </w:r>
      <w:r w:rsidR="00A10EBD" w:rsidRPr="00F73C3A">
        <w:rPr>
          <w:rFonts w:ascii="Calibri" w:hAnsi="Calibri"/>
          <w:color w:val="262626" w:themeColor="text1" w:themeTint="D9"/>
        </w:rPr>
        <w:t xml:space="preserve">appraisal and </w:t>
      </w:r>
      <w:r w:rsidR="00E072E1" w:rsidRPr="00F73C3A">
        <w:rPr>
          <w:rFonts w:ascii="Calibri" w:hAnsi="Calibri"/>
          <w:color w:val="262626" w:themeColor="text1" w:themeTint="D9"/>
        </w:rPr>
        <w:t>a</w:t>
      </w:r>
      <w:r w:rsidR="00A10EBD" w:rsidRPr="00F73C3A">
        <w:rPr>
          <w:rFonts w:ascii="Calibri" w:hAnsi="Calibri"/>
          <w:color w:val="262626" w:themeColor="text1" w:themeTint="D9"/>
        </w:rPr>
        <w:t xml:space="preserve">dministration </w:t>
      </w:r>
      <w:r w:rsidR="00E072E1" w:rsidRPr="00F73C3A">
        <w:rPr>
          <w:rFonts w:ascii="Calibri" w:hAnsi="Calibri"/>
          <w:color w:val="262626" w:themeColor="text1" w:themeTint="D9"/>
        </w:rPr>
        <w:t xml:space="preserve">fee </w:t>
      </w:r>
      <w:r w:rsidR="00CA6DB6" w:rsidRPr="00F73C3A">
        <w:rPr>
          <w:rFonts w:ascii="Calibri" w:hAnsi="Calibri"/>
          <w:color w:val="262626" w:themeColor="text1" w:themeTint="D9"/>
        </w:rPr>
        <w:t>payable</w:t>
      </w:r>
      <w:r w:rsidR="00040028" w:rsidRPr="00F73C3A">
        <w:rPr>
          <w:rFonts w:ascii="Calibri" w:hAnsi="Calibri"/>
          <w:color w:val="262626" w:themeColor="text1" w:themeTint="D9"/>
        </w:rPr>
        <w:t xml:space="preserve"> at this stage</w:t>
      </w:r>
      <w:r w:rsidR="00E072E1" w:rsidRPr="00F73C3A">
        <w:rPr>
          <w:rFonts w:ascii="Calibri" w:hAnsi="Calibri"/>
          <w:color w:val="262626" w:themeColor="text1" w:themeTint="D9"/>
        </w:rPr>
        <w:t xml:space="preserve"> of 3% for grants up to £50</w:t>
      </w:r>
      <w:r w:rsidR="00A10EBD" w:rsidRPr="00F73C3A">
        <w:rPr>
          <w:rFonts w:ascii="Calibri" w:hAnsi="Calibri"/>
          <w:color w:val="262626" w:themeColor="text1" w:themeTint="D9"/>
        </w:rPr>
        <w:t>,000</w:t>
      </w:r>
      <w:r w:rsidR="00E072E1" w:rsidRPr="00F73C3A">
        <w:rPr>
          <w:rFonts w:ascii="Calibri" w:hAnsi="Calibri"/>
          <w:color w:val="262626" w:themeColor="text1" w:themeTint="D9"/>
        </w:rPr>
        <w:t xml:space="preserve"> and </w:t>
      </w:r>
      <w:r w:rsidR="00A10EBD" w:rsidRPr="00F73C3A">
        <w:rPr>
          <w:rFonts w:ascii="Calibri" w:hAnsi="Calibri"/>
          <w:color w:val="262626" w:themeColor="text1" w:themeTint="D9"/>
        </w:rPr>
        <w:t xml:space="preserve">an administration fee of </w:t>
      </w:r>
      <w:r w:rsidR="00E072E1" w:rsidRPr="00F73C3A">
        <w:rPr>
          <w:rFonts w:ascii="Calibri" w:hAnsi="Calibri"/>
          <w:color w:val="262626" w:themeColor="text1" w:themeTint="D9"/>
        </w:rPr>
        <w:t>1% for grants over £50</w:t>
      </w:r>
      <w:r w:rsidR="00A10EBD" w:rsidRPr="00F73C3A">
        <w:rPr>
          <w:rFonts w:ascii="Calibri" w:hAnsi="Calibri"/>
          <w:color w:val="262626" w:themeColor="text1" w:themeTint="D9"/>
        </w:rPr>
        <w:t>,000 (a 2% appraisal fee having already been paid)</w:t>
      </w:r>
      <w:r w:rsidR="00CA6DB6" w:rsidRPr="00F73C3A">
        <w:rPr>
          <w:rFonts w:ascii="Calibri" w:hAnsi="Calibri"/>
          <w:color w:val="262626" w:themeColor="text1" w:themeTint="D9"/>
        </w:rPr>
        <w:t xml:space="preserve">. </w:t>
      </w:r>
      <w:r w:rsidR="00CA6DB6" w:rsidRPr="00F73C3A">
        <w:rPr>
          <w:rFonts w:ascii="Calibri" w:hAnsi="Calibri"/>
          <w:color w:val="262626" w:themeColor="text1" w:themeTint="D9"/>
          <w:szCs w:val="18"/>
        </w:rPr>
        <w:t>The applicant can</w:t>
      </w:r>
      <w:r w:rsidR="00040028" w:rsidRPr="00F73C3A">
        <w:rPr>
          <w:rFonts w:ascii="Calibri" w:hAnsi="Calibri"/>
          <w:color w:val="262626" w:themeColor="text1" w:themeTint="D9"/>
          <w:szCs w:val="18"/>
        </w:rPr>
        <w:t xml:space="preserve"> </w:t>
      </w:r>
      <w:r w:rsidR="00CA6DB6" w:rsidRPr="00F73C3A">
        <w:rPr>
          <w:rFonts w:ascii="Calibri" w:hAnsi="Calibri"/>
          <w:color w:val="262626" w:themeColor="text1" w:themeTint="D9"/>
          <w:szCs w:val="18"/>
        </w:rPr>
        <w:t xml:space="preserve">commit to </w:t>
      </w:r>
      <w:r w:rsidR="00040028" w:rsidRPr="00F73C3A">
        <w:rPr>
          <w:rFonts w:ascii="Calibri" w:hAnsi="Calibri"/>
          <w:color w:val="262626" w:themeColor="text1" w:themeTint="D9"/>
          <w:szCs w:val="18"/>
        </w:rPr>
        <w:t xml:space="preserve">the </w:t>
      </w:r>
      <w:r w:rsidR="00CA6DB6" w:rsidRPr="00F73C3A">
        <w:rPr>
          <w:rFonts w:ascii="Calibri" w:hAnsi="Calibri"/>
          <w:color w:val="262626" w:themeColor="text1" w:themeTint="D9"/>
          <w:szCs w:val="18"/>
        </w:rPr>
        <w:t xml:space="preserve">project </w:t>
      </w:r>
      <w:r w:rsidR="00040028" w:rsidRPr="00F73C3A">
        <w:rPr>
          <w:rFonts w:ascii="Calibri" w:hAnsi="Calibri"/>
          <w:color w:val="262626" w:themeColor="text1" w:themeTint="D9"/>
          <w:szCs w:val="18"/>
        </w:rPr>
        <w:t xml:space="preserve">once this formal offer of assistance has been made but not before. </w:t>
      </w:r>
    </w:p>
    <w:p w:rsidR="00CA6DB6" w:rsidRPr="00F73C3A" w:rsidRDefault="00CA6DB6" w:rsidP="0002758E">
      <w:pPr>
        <w:pStyle w:val="Heading2"/>
        <w:rPr>
          <w:rFonts w:ascii="Calibri" w:hAnsi="Calibri"/>
          <w:color w:val="262626" w:themeColor="text1" w:themeTint="D9"/>
        </w:rPr>
      </w:pPr>
      <w:bookmarkStart w:id="3" w:name="_Toc385964242"/>
      <w:r w:rsidRPr="00F73C3A">
        <w:rPr>
          <w:rFonts w:ascii="Calibri" w:hAnsi="Calibri"/>
          <w:color w:val="262626" w:themeColor="text1" w:themeTint="D9"/>
        </w:rPr>
        <w:t xml:space="preserve">Eligible </w:t>
      </w:r>
      <w:bookmarkEnd w:id="3"/>
      <w:r w:rsidR="002C7F83" w:rsidRPr="00F73C3A">
        <w:rPr>
          <w:rFonts w:ascii="Calibri" w:hAnsi="Calibri"/>
          <w:color w:val="262626" w:themeColor="text1" w:themeTint="D9"/>
        </w:rPr>
        <w:t>businesses</w:t>
      </w:r>
      <w:r w:rsidR="00062088" w:rsidRPr="00F73C3A">
        <w:rPr>
          <w:rFonts w:ascii="Calibri" w:hAnsi="Calibri"/>
          <w:color w:val="262626" w:themeColor="text1" w:themeTint="D9"/>
        </w:rPr>
        <w:t xml:space="preserve"> and geographic location</w:t>
      </w:r>
    </w:p>
    <w:p w:rsidR="00CA6DB6" w:rsidRPr="004F4EE7" w:rsidRDefault="00CA6DB6" w:rsidP="002C7F83">
      <w:pPr>
        <w:spacing w:after="0"/>
        <w:jc w:val="left"/>
        <w:rPr>
          <w:rFonts w:ascii="Calibri" w:hAnsi="Calibri"/>
        </w:rPr>
      </w:pPr>
      <w:r w:rsidRPr="00F73C3A">
        <w:rPr>
          <w:rFonts w:ascii="Calibri" w:hAnsi="Calibri"/>
          <w:color w:val="262626" w:themeColor="text1" w:themeTint="D9"/>
        </w:rPr>
        <w:t xml:space="preserve">SMEs </w:t>
      </w:r>
      <w:r w:rsidR="002C7F83" w:rsidRPr="00F73C3A">
        <w:rPr>
          <w:rFonts w:ascii="Calibri" w:hAnsi="Calibri"/>
          <w:color w:val="262626" w:themeColor="text1" w:themeTint="D9"/>
        </w:rPr>
        <w:t xml:space="preserve">in any area of Cumbria are </w:t>
      </w:r>
      <w:r w:rsidRPr="00F73C3A">
        <w:rPr>
          <w:rFonts w:ascii="Calibri" w:hAnsi="Calibri"/>
          <w:color w:val="262626" w:themeColor="text1" w:themeTint="D9"/>
        </w:rPr>
        <w:t>eligible</w:t>
      </w:r>
      <w:r w:rsidR="002C7F83" w:rsidRPr="00F73C3A">
        <w:rPr>
          <w:rFonts w:ascii="Calibri" w:hAnsi="Calibri"/>
          <w:color w:val="262626" w:themeColor="text1" w:themeTint="D9"/>
        </w:rPr>
        <w:t xml:space="preserve">. </w:t>
      </w:r>
      <w:r w:rsidRPr="00F73C3A">
        <w:rPr>
          <w:rFonts w:ascii="Calibri" w:hAnsi="Calibri"/>
          <w:color w:val="262626" w:themeColor="text1" w:themeTint="D9"/>
        </w:rPr>
        <w:t>The EU SME definition is set</w:t>
      </w:r>
      <w:r w:rsidR="002C7F83" w:rsidRPr="00F73C3A">
        <w:rPr>
          <w:rFonts w:ascii="Calibri" w:hAnsi="Calibri"/>
          <w:color w:val="262626" w:themeColor="text1" w:themeTint="D9"/>
        </w:rPr>
        <w:t xml:space="preserve"> out in </w:t>
      </w:r>
      <w:hyperlink r:id="rId13" w:history="1">
        <w:r w:rsidRPr="004F4EE7">
          <w:rPr>
            <w:rStyle w:val="Hyperlink"/>
            <w:rFonts w:ascii="Calibri" w:hAnsi="Calibri"/>
          </w:rPr>
          <w:t>http://ec.europa.eu/enterprise/policies/sme/files/sme_definition/sme_user_guide_en.pdf</w:t>
        </w:r>
      </w:hyperlink>
    </w:p>
    <w:p w:rsidR="00CA6DB6" w:rsidRPr="004F4EE7" w:rsidRDefault="00CA6DB6" w:rsidP="00267150">
      <w:pPr>
        <w:spacing w:after="0"/>
        <w:rPr>
          <w:rFonts w:ascii="Calibri" w:hAnsi="Calibri"/>
        </w:rPr>
      </w:pPr>
    </w:p>
    <w:p w:rsidR="00CA6DB6" w:rsidRPr="00F73C3A" w:rsidRDefault="00CA6DB6" w:rsidP="00267150">
      <w:pPr>
        <w:rPr>
          <w:rFonts w:ascii="Calibri" w:hAnsi="Calibri" w:cs="Arial"/>
          <w:color w:val="262626" w:themeColor="text1" w:themeTint="D9"/>
          <w:szCs w:val="18"/>
        </w:rPr>
      </w:pPr>
      <w:r w:rsidRPr="00F73C3A">
        <w:rPr>
          <w:rFonts w:ascii="Calibri" w:hAnsi="Calibri"/>
          <w:color w:val="262626" w:themeColor="text1" w:themeTint="D9"/>
          <w:szCs w:val="18"/>
        </w:rPr>
        <w:t xml:space="preserve">Large companies </w:t>
      </w:r>
      <w:r w:rsidR="002C7F83" w:rsidRPr="00F73C3A">
        <w:rPr>
          <w:rFonts w:ascii="Calibri" w:hAnsi="Calibri"/>
          <w:color w:val="262626" w:themeColor="text1" w:themeTint="D9"/>
          <w:szCs w:val="18"/>
        </w:rPr>
        <w:t>are</w:t>
      </w:r>
      <w:r w:rsidRPr="00F73C3A">
        <w:rPr>
          <w:rFonts w:ascii="Calibri" w:hAnsi="Calibri"/>
          <w:color w:val="262626" w:themeColor="text1" w:themeTint="D9"/>
          <w:szCs w:val="18"/>
        </w:rPr>
        <w:t xml:space="preserve"> only be eligible to apply for a grant towards capital investment costs if the investment is to be located in an Assisted Area in </w:t>
      </w:r>
      <w:r w:rsidR="00612905" w:rsidRPr="00F73C3A">
        <w:rPr>
          <w:rFonts w:ascii="Calibri" w:hAnsi="Calibri"/>
          <w:color w:val="262626" w:themeColor="text1" w:themeTint="D9"/>
          <w:szCs w:val="18"/>
        </w:rPr>
        <w:t>Cumbria</w:t>
      </w:r>
      <w:r w:rsidRPr="00F73C3A">
        <w:rPr>
          <w:rFonts w:ascii="Calibri" w:hAnsi="Calibri"/>
          <w:color w:val="262626" w:themeColor="text1" w:themeTint="D9"/>
          <w:szCs w:val="18"/>
        </w:rPr>
        <w:t xml:space="preserve"> and the project relates to an initial investment in favour of</w:t>
      </w:r>
      <w:r w:rsidR="00B87C67" w:rsidRPr="00F73C3A">
        <w:rPr>
          <w:rFonts w:ascii="Calibri" w:hAnsi="Calibri"/>
          <w:color w:val="262626" w:themeColor="text1" w:themeTint="D9"/>
          <w:szCs w:val="18"/>
        </w:rPr>
        <w:t xml:space="preserve"> a new economic activity</w:t>
      </w:r>
      <w:r w:rsidRPr="00F73C3A">
        <w:rPr>
          <w:rFonts w:ascii="Calibri" w:hAnsi="Calibri"/>
          <w:color w:val="262626" w:themeColor="text1" w:themeTint="D9"/>
          <w:szCs w:val="18"/>
        </w:rPr>
        <w:t xml:space="preserve">. The current Assisted Areas map, which applies from 1 July 2014 until 31 December 2020 can be found at: </w:t>
      </w:r>
      <w:hyperlink r:id="rId14" w:history="1">
        <w:r w:rsidR="00B87C67" w:rsidRPr="004F4EE7">
          <w:rPr>
            <w:rStyle w:val="Hyperlink"/>
            <w:rFonts w:ascii="Calibri" w:hAnsi="Calibri"/>
          </w:rPr>
          <w:t>http://www.ukassistedareasmap.com/</w:t>
        </w:r>
      </w:hyperlink>
      <w:r w:rsidR="00B87C67" w:rsidRPr="004F4EE7">
        <w:rPr>
          <w:rStyle w:val="Hyperlink"/>
          <w:rFonts w:ascii="Calibri" w:hAnsi="Calibri"/>
          <w:u w:val="none"/>
        </w:rPr>
        <w:t>.</w:t>
      </w:r>
      <w:r w:rsidR="00B87C67" w:rsidRPr="00F73C3A">
        <w:rPr>
          <w:rFonts w:ascii="Calibri" w:hAnsi="Calibri" w:cs="Arial"/>
          <w:color w:val="262626" w:themeColor="text1" w:themeTint="D9"/>
          <w:szCs w:val="18"/>
        </w:rPr>
        <w:t xml:space="preserve">This </w:t>
      </w:r>
      <w:r w:rsidRPr="00F73C3A">
        <w:rPr>
          <w:rFonts w:ascii="Calibri" w:hAnsi="Calibri" w:cs="Arial"/>
          <w:color w:val="262626" w:themeColor="text1" w:themeTint="D9"/>
          <w:szCs w:val="18"/>
        </w:rPr>
        <w:t>map is based on ward boundaries in effect on 31 December 2011</w:t>
      </w:r>
      <w:r w:rsidR="00434152" w:rsidRPr="00F73C3A">
        <w:rPr>
          <w:rFonts w:ascii="Calibri" w:hAnsi="Calibri" w:cs="Arial"/>
          <w:color w:val="262626" w:themeColor="text1" w:themeTint="D9"/>
          <w:szCs w:val="18"/>
        </w:rPr>
        <w:t>. A</w:t>
      </w:r>
      <w:r w:rsidRPr="00F73C3A">
        <w:rPr>
          <w:rFonts w:ascii="Calibri" w:hAnsi="Calibri" w:cs="Arial"/>
          <w:color w:val="262626" w:themeColor="text1" w:themeTint="D9"/>
          <w:szCs w:val="18"/>
        </w:rPr>
        <w:t xml:space="preserve"> full list of eligible wards is set out in Annex C. </w:t>
      </w:r>
    </w:p>
    <w:p w:rsidR="00CA6DB6" w:rsidRPr="00F73C3A" w:rsidRDefault="00CA6DB6" w:rsidP="00267150">
      <w:pPr>
        <w:rPr>
          <w:rFonts w:ascii="Calibri" w:hAnsi="Calibri" w:cs="Arial"/>
          <w:color w:val="262626" w:themeColor="text1" w:themeTint="D9"/>
          <w:szCs w:val="20"/>
        </w:rPr>
      </w:pPr>
      <w:r w:rsidRPr="00F73C3A">
        <w:rPr>
          <w:rFonts w:ascii="Calibri" w:hAnsi="Calibri" w:cs="Arial"/>
          <w:color w:val="262626" w:themeColor="text1" w:themeTint="D9"/>
          <w:szCs w:val="20"/>
        </w:rPr>
        <w:t xml:space="preserve">R&amp;D projects </w:t>
      </w:r>
      <w:r w:rsidR="00434152" w:rsidRPr="00F73C3A">
        <w:rPr>
          <w:rFonts w:ascii="Calibri" w:hAnsi="Calibri" w:cs="Arial"/>
          <w:color w:val="262626" w:themeColor="text1" w:themeTint="D9"/>
          <w:szCs w:val="20"/>
        </w:rPr>
        <w:t xml:space="preserve">by any size of business </w:t>
      </w:r>
      <w:r w:rsidR="00B87C67" w:rsidRPr="00F73C3A">
        <w:rPr>
          <w:rFonts w:ascii="Calibri" w:hAnsi="Calibri" w:cs="Arial"/>
          <w:color w:val="262626" w:themeColor="text1" w:themeTint="D9"/>
          <w:szCs w:val="20"/>
        </w:rPr>
        <w:t xml:space="preserve">in any area of the county </w:t>
      </w:r>
      <w:r w:rsidRPr="00F73C3A">
        <w:rPr>
          <w:rFonts w:ascii="Calibri" w:hAnsi="Calibri" w:cs="Arial"/>
          <w:color w:val="262626" w:themeColor="text1" w:themeTint="D9"/>
          <w:szCs w:val="20"/>
        </w:rPr>
        <w:t xml:space="preserve">are eligible for </w:t>
      </w:r>
      <w:r w:rsidR="00612905" w:rsidRPr="00F73C3A">
        <w:rPr>
          <w:rFonts w:ascii="Calibri" w:hAnsi="Calibri" w:cs="Arial"/>
          <w:color w:val="262626" w:themeColor="text1" w:themeTint="D9"/>
          <w:szCs w:val="20"/>
        </w:rPr>
        <w:t>Cumbria Growth Fund</w:t>
      </w:r>
      <w:r w:rsidR="00B87C67" w:rsidRPr="00F73C3A">
        <w:rPr>
          <w:rFonts w:ascii="Calibri" w:hAnsi="Calibri" w:cs="Arial"/>
          <w:color w:val="262626" w:themeColor="text1" w:themeTint="D9"/>
          <w:szCs w:val="20"/>
        </w:rPr>
        <w:t xml:space="preserve"> grants</w:t>
      </w:r>
      <w:r w:rsidRPr="00F73C3A">
        <w:rPr>
          <w:rFonts w:ascii="Calibri" w:hAnsi="Calibri" w:cs="Arial"/>
          <w:color w:val="262626" w:themeColor="text1" w:themeTint="D9"/>
          <w:szCs w:val="20"/>
        </w:rPr>
        <w:t>.</w:t>
      </w:r>
    </w:p>
    <w:p w:rsidR="00CA6DB6" w:rsidRPr="00F73C3A" w:rsidRDefault="00CA6DB6" w:rsidP="0002758E">
      <w:pPr>
        <w:pStyle w:val="Heading2"/>
        <w:rPr>
          <w:rFonts w:ascii="Calibri" w:hAnsi="Calibri"/>
          <w:color w:val="262626" w:themeColor="text1" w:themeTint="D9"/>
        </w:rPr>
      </w:pPr>
      <w:bookmarkStart w:id="4" w:name="_Toc385964245"/>
      <w:r w:rsidRPr="00F73C3A">
        <w:rPr>
          <w:rFonts w:ascii="Calibri" w:hAnsi="Calibri"/>
          <w:color w:val="262626" w:themeColor="text1" w:themeTint="D9"/>
        </w:rPr>
        <w:t>Project timescales</w:t>
      </w:r>
      <w:bookmarkEnd w:id="4"/>
    </w:p>
    <w:p w:rsidR="00CA6DB6" w:rsidRPr="00F73C3A" w:rsidRDefault="00CA6DB6" w:rsidP="00267150">
      <w:pPr>
        <w:rPr>
          <w:rFonts w:ascii="Calibri" w:hAnsi="Calibri"/>
          <w:color w:val="262626" w:themeColor="text1" w:themeTint="D9"/>
          <w:szCs w:val="18"/>
        </w:rPr>
      </w:pPr>
      <w:r w:rsidRPr="00F73C3A">
        <w:rPr>
          <w:rFonts w:ascii="Calibri" w:hAnsi="Calibri"/>
          <w:color w:val="262626" w:themeColor="text1" w:themeTint="D9"/>
          <w:szCs w:val="18"/>
        </w:rPr>
        <w:t>Projects should be substantially complete by 31 December 2016 and all claims for grant payme</w:t>
      </w:r>
      <w:r w:rsidR="00B87C67" w:rsidRPr="00F73C3A">
        <w:rPr>
          <w:rFonts w:ascii="Calibri" w:hAnsi="Calibri"/>
          <w:color w:val="262626" w:themeColor="text1" w:themeTint="D9"/>
          <w:szCs w:val="18"/>
        </w:rPr>
        <w:t xml:space="preserve">nt submitted by 15 April 2017. </w:t>
      </w:r>
      <w:r w:rsidRPr="00F73C3A">
        <w:rPr>
          <w:rFonts w:ascii="Calibri" w:hAnsi="Calibri"/>
          <w:color w:val="262626" w:themeColor="text1" w:themeTint="D9"/>
          <w:szCs w:val="18"/>
        </w:rPr>
        <w:t xml:space="preserve">No claims for grant payments </w:t>
      </w:r>
      <w:r w:rsidR="00B87C67" w:rsidRPr="00F73C3A">
        <w:rPr>
          <w:rFonts w:ascii="Calibri" w:hAnsi="Calibri"/>
          <w:color w:val="262626" w:themeColor="text1" w:themeTint="D9"/>
          <w:szCs w:val="18"/>
        </w:rPr>
        <w:t>can</w:t>
      </w:r>
      <w:r w:rsidRPr="00F73C3A">
        <w:rPr>
          <w:rFonts w:ascii="Calibri" w:hAnsi="Calibri"/>
          <w:color w:val="262626" w:themeColor="text1" w:themeTint="D9"/>
          <w:szCs w:val="18"/>
        </w:rPr>
        <w:t xml:space="preserve"> be accepted after this date.</w:t>
      </w:r>
    </w:p>
    <w:p w:rsidR="00CA6DB6" w:rsidRPr="00F73C3A" w:rsidRDefault="00CA6DB6" w:rsidP="0002758E">
      <w:pPr>
        <w:pStyle w:val="Heading2"/>
        <w:rPr>
          <w:rFonts w:ascii="Calibri" w:hAnsi="Calibri"/>
          <w:color w:val="262626" w:themeColor="text1" w:themeTint="D9"/>
        </w:rPr>
      </w:pPr>
      <w:bookmarkStart w:id="5" w:name="_Toc385964246"/>
      <w:r w:rsidRPr="00F73C3A">
        <w:rPr>
          <w:rFonts w:ascii="Calibri" w:hAnsi="Calibri"/>
          <w:color w:val="262626" w:themeColor="text1" w:themeTint="D9"/>
        </w:rPr>
        <w:t>Eligible project expenditure</w:t>
      </w:r>
      <w:bookmarkEnd w:id="5"/>
    </w:p>
    <w:p w:rsidR="00CA6DB6" w:rsidRPr="00F73C3A" w:rsidRDefault="00CA6DB6" w:rsidP="00267150">
      <w:pPr>
        <w:rPr>
          <w:rFonts w:ascii="Calibri" w:hAnsi="Calibri"/>
          <w:color w:val="262626" w:themeColor="text1" w:themeTint="D9"/>
        </w:rPr>
      </w:pPr>
      <w:r w:rsidRPr="00F73C3A">
        <w:rPr>
          <w:rFonts w:ascii="Calibri" w:hAnsi="Calibri"/>
          <w:color w:val="262626" w:themeColor="text1" w:themeTint="D9"/>
          <w:szCs w:val="18"/>
        </w:rPr>
        <w:t>Pr</w:t>
      </w:r>
      <w:r w:rsidR="00B87C67" w:rsidRPr="00F73C3A">
        <w:rPr>
          <w:rFonts w:ascii="Calibri" w:hAnsi="Calibri"/>
          <w:color w:val="262626" w:themeColor="text1" w:themeTint="D9"/>
          <w:szCs w:val="18"/>
        </w:rPr>
        <w:t xml:space="preserve">ojects may </w:t>
      </w:r>
      <w:r w:rsidRPr="00F73C3A">
        <w:rPr>
          <w:rFonts w:ascii="Calibri" w:hAnsi="Calibri"/>
          <w:color w:val="262626" w:themeColor="text1" w:themeTint="D9"/>
          <w:szCs w:val="18"/>
        </w:rPr>
        <w:t xml:space="preserve">involve investment in new assets </w:t>
      </w:r>
      <w:r w:rsidR="00B87C67" w:rsidRPr="00F73C3A">
        <w:rPr>
          <w:rFonts w:ascii="Calibri" w:hAnsi="Calibri"/>
          <w:color w:val="262626" w:themeColor="text1" w:themeTint="D9"/>
          <w:szCs w:val="18"/>
        </w:rPr>
        <w:t xml:space="preserve">or in Research &amp; Development (R&amp;D) </w:t>
      </w:r>
      <w:r w:rsidRPr="00F73C3A">
        <w:rPr>
          <w:rFonts w:ascii="Calibri" w:hAnsi="Calibri"/>
          <w:color w:val="262626" w:themeColor="text1" w:themeTint="D9"/>
          <w:szCs w:val="18"/>
        </w:rPr>
        <w:t>leading to the creation or safeguarding of jobs</w:t>
      </w:r>
      <w:r w:rsidR="00B87C67" w:rsidRPr="00F73C3A">
        <w:rPr>
          <w:rFonts w:ascii="Calibri" w:hAnsi="Calibri"/>
          <w:color w:val="262626" w:themeColor="text1" w:themeTint="D9"/>
          <w:szCs w:val="18"/>
        </w:rPr>
        <w:t xml:space="preserve">. </w:t>
      </w:r>
    </w:p>
    <w:p w:rsidR="00CA6DB6" w:rsidRPr="00F73C3A" w:rsidRDefault="00361335" w:rsidP="00267150">
      <w:pPr>
        <w:spacing w:after="0"/>
        <w:rPr>
          <w:rFonts w:ascii="Calibri" w:hAnsi="Calibri"/>
          <w:color w:val="262626" w:themeColor="text1" w:themeTint="D9"/>
        </w:rPr>
      </w:pPr>
      <w:r w:rsidRPr="00F73C3A">
        <w:rPr>
          <w:rFonts w:ascii="Calibri" w:hAnsi="Calibri"/>
          <w:color w:val="262626" w:themeColor="text1" w:themeTint="D9"/>
        </w:rPr>
        <w:t>E</w:t>
      </w:r>
      <w:r w:rsidR="00CA6DB6" w:rsidRPr="00F73C3A">
        <w:rPr>
          <w:rFonts w:ascii="Calibri" w:hAnsi="Calibri"/>
          <w:color w:val="262626" w:themeColor="text1" w:themeTint="D9"/>
        </w:rPr>
        <w:t>xpenditure must be incurred and fully defrayed before grant claims r</w:t>
      </w:r>
      <w:r w:rsidR="00B87C67" w:rsidRPr="00F73C3A">
        <w:rPr>
          <w:rFonts w:ascii="Calibri" w:hAnsi="Calibri"/>
          <w:color w:val="262626" w:themeColor="text1" w:themeTint="D9"/>
        </w:rPr>
        <w:t xml:space="preserve">elating to that expenditure can </w:t>
      </w:r>
      <w:r w:rsidR="00CA6DB6" w:rsidRPr="00F73C3A">
        <w:rPr>
          <w:rFonts w:ascii="Calibri" w:hAnsi="Calibri"/>
          <w:color w:val="262626" w:themeColor="text1" w:themeTint="D9"/>
        </w:rPr>
        <w:t>be submitted</w:t>
      </w:r>
      <w:r w:rsidRPr="00F73C3A">
        <w:rPr>
          <w:rFonts w:ascii="Calibri" w:hAnsi="Calibri"/>
          <w:color w:val="262626" w:themeColor="text1" w:themeTint="D9"/>
        </w:rPr>
        <w:t>, other than e</w:t>
      </w:r>
      <w:r w:rsidR="00CA6DB6" w:rsidRPr="00F73C3A">
        <w:rPr>
          <w:rFonts w:ascii="Calibri" w:hAnsi="Calibri"/>
          <w:color w:val="262626" w:themeColor="text1" w:themeTint="D9"/>
        </w:rPr>
        <w:t xml:space="preserve">xpenditure via HP, </w:t>
      </w:r>
      <w:r w:rsidRPr="00F73C3A">
        <w:rPr>
          <w:rFonts w:ascii="Calibri" w:hAnsi="Calibri"/>
          <w:color w:val="262626" w:themeColor="text1" w:themeTint="D9"/>
        </w:rPr>
        <w:t>leases and capitalised salaries</w:t>
      </w:r>
      <w:r w:rsidR="00CA6DB6" w:rsidRPr="00F73C3A">
        <w:rPr>
          <w:rFonts w:ascii="Calibri" w:hAnsi="Calibri"/>
          <w:color w:val="262626" w:themeColor="text1" w:themeTint="D9"/>
        </w:rPr>
        <w:t xml:space="preserve">. In </w:t>
      </w:r>
      <w:r w:rsidRPr="00F73C3A">
        <w:rPr>
          <w:rFonts w:ascii="Calibri" w:hAnsi="Calibri"/>
          <w:color w:val="262626" w:themeColor="text1" w:themeTint="D9"/>
        </w:rPr>
        <w:t>the latter cases</w:t>
      </w:r>
      <w:r w:rsidR="00CA6DB6" w:rsidRPr="00F73C3A">
        <w:rPr>
          <w:rFonts w:ascii="Calibri" w:hAnsi="Calibri"/>
          <w:color w:val="262626" w:themeColor="text1" w:themeTint="D9"/>
        </w:rPr>
        <w:t xml:space="preserve"> only the amount actually defrayed at the time of the claim </w:t>
      </w:r>
      <w:r w:rsidR="00B87C67" w:rsidRPr="00F73C3A">
        <w:rPr>
          <w:rFonts w:ascii="Calibri" w:hAnsi="Calibri"/>
          <w:color w:val="262626" w:themeColor="text1" w:themeTint="D9"/>
        </w:rPr>
        <w:t>can be included.</w:t>
      </w:r>
      <w:r w:rsidR="00CA6DB6" w:rsidRPr="00F73C3A">
        <w:rPr>
          <w:rFonts w:ascii="Calibri" w:hAnsi="Calibri"/>
          <w:color w:val="262626" w:themeColor="text1" w:themeTint="D9"/>
        </w:rPr>
        <w:t xml:space="preserve"> </w:t>
      </w:r>
      <w:r w:rsidR="00B87C67" w:rsidRPr="00F73C3A">
        <w:rPr>
          <w:rFonts w:ascii="Calibri" w:hAnsi="Calibri"/>
          <w:color w:val="262626" w:themeColor="text1" w:themeTint="D9"/>
        </w:rPr>
        <w:t>A</w:t>
      </w:r>
      <w:r w:rsidR="00CA6DB6" w:rsidRPr="00F73C3A">
        <w:rPr>
          <w:rFonts w:ascii="Calibri" w:hAnsi="Calibri"/>
          <w:color w:val="262626" w:themeColor="text1" w:themeTint="D9"/>
        </w:rPr>
        <w:t>t no stage of the project will the payment of grant exceed the applicant’s actual</w:t>
      </w:r>
      <w:r w:rsidR="00B87C67" w:rsidRPr="00F73C3A">
        <w:rPr>
          <w:rFonts w:ascii="Calibri" w:hAnsi="Calibri"/>
          <w:color w:val="262626" w:themeColor="text1" w:themeTint="D9"/>
        </w:rPr>
        <w:t xml:space="preserve"> cash expenditure</w:t>
      </w:r>
      <w:r w:rsidR="00CA6DB6" w:rsidRPr="00F73C3A">
        <w:rPr>
          <w:rFonts w:ascii="Calibri" w:hAnsi="Calibri"/>
          <w:color w:val="262626" w:themeColor="text1" w:themeTint="D9"/>
        </w:rPr>
        <w:t>.</w:t>
      </w:r>
    </w:p>
    <w:p w:rsidR="00CA6DB6" w:rsidRPr="00F73C3A" w:rsidRDefault="00CA6DB6" w:rsidP="00267150">
      <w:pPr>
        <w:spacing w:after="0"/>
        <w:rPr>
          <w:rFonts w:ascii="Calibri" w:hAnsi="Calibri"/>
          <w:color w:val="262626" w:themeColor="text1" w:themeTint="D9"/>
        </w:rPr>
      </w:pPr>
    </w:p>
    <w:p w:rsidR="00CA6DB6" w:rsidRPr="00F73C3A" w:rsidRDefault="00CA6DB6" w:rsidP="00267150">
      <w:pPr>
        <w:spacing w:after="0"/>
        <w:rPr>
          <w:rFonts w:ascii="Calibri" w:hAnsi="Calibri"/>
          <w:color w:val="262626" w:themeColor="text1" w:themeTint="D9"/>
        </w:rPr>
      </w:pPr>
      <w:r w:rsidRPr="00F73C3A">
        <w:rPr>
          <w:rFonts w:ascii="Calibri" w:hAnsi="Calibri"/>
          <w:color w:val="262626" w:themeColor="text1" w:themeTint="D9"/>
        </w:rPr>
        <w:t>Examples of eligible expenditure can include the following:</w:t>
      </w:r>
    </w:p>
    <w:p w:rsidR="00CA6DB6" w:rsidRPr="00F73C3A" w:rsidRDefault="00CA6DB6" w:rsidP="00267150">
      <w:pPr>
        <w:spacing w:after="0"/>
        <w:rPr>
          <w:rFonts w:ascii="Calibri" w:hAnsi="Calibri"/>
          <w:color w:val="262626" w:themeColor="text1" w:themeTint="D9"/>
        </w:rPr>
      </w:pPr>
    </w:p>
    <w:p w:rsidR="00CA6DB6" w:rsidRPr="00F73C3A" w:rsidRDefault="00CA6DB6" w:rsidP="00267150">
      <w:pPr>
        <w:spacing w:after="0"/>
        <w:rPr>
          <w:rFonts w:ascii="Calibri" w:hAnsi="Calibri"/>
          <w:b/>
          <w:color w:val="262626" w:themeColor="text1" w:themeTint="D9"/>
        </w:rPr>
      </w:pPr>
      <w:r w:rsidRPr="00F73C3A">
        <w:rPr>
          <w:rFonts w:ascii="Calibri" w:hAnsi="Calibri"/>
          <w:b/>
          <w:color w:val="262626" w:themeColor="text1" w:themeTint="D9"/>
        </w:rPr>
        <w:t>Capit</w:t>
      </w:r>
      <w:r w:rsidR="008869EF" w:rsidRPr="00F73C3A">
        <w:rPr>
          <w:rFonts w:ascii="Calibri" w:hAnsi="Calibri"/>
          <w:b/>
          <w:color w:val="262626" w:themeColor="text1" w:themeTint="D9"/>
        </w:rPr>
        <w:t>al expenditure</w:t>
      </w:r>
    </w:p>
    <w:p w:rsidR="00CA6DB6" w:rsidRPr="00F73C3A" w:rsidRDefault="00CA6DB6" w:rsidP="00F61707">
      <w:pPr>
        <w:pStyle w:val="ListParagraph"/>
        <w:numPr>
          <w:ilvl w:val="0"/>
          <w:numId w:val="23"/>
        </w:numPr>
        <w:spacing w:after="0" w:line="276" w:lineRule="auto"/>
        <w:rPr>
          <w:rFonts w:ascii="Calibri" w:hAnsi="Calibri"/>
          <w:color w:val="262626" w:themeColor="text1" w:themeTint="D9"/>
        </w:rPr>
      </w:pPr>
      <w:r w:rsidRPr="00F73C3A">
        <w:rPr>
          <w:rFonts w:ascii="Calibri" w:hAnsi="Calibri"/>
          <w:color w:val="262626" w:themeColor="text1" w:themeTint="D9"/>
        </w:rPr>
        <w:t>Land and buildings, including the purchase or lease of larger premises</w:t>
      </w:r>
      <w:r w:rsidR="00B87C67" w:rsidRPr="00F73C3A">
        <w:rPr>
          <w:rFonts w:ascii="Calibri" w:hAnsi="Calibri"/>
          <w:color w:val="262626" w:themeColor="text1" w:themeTint="D9"/>
        </w:rPr>
        <w:t xml:space="preserve"> and</w:t>
      </w:r>
      <w:r w:rsidR="00361335" w:rsidRPr="00F73C3A">
        <w:rPr>
          <w:rFonts w:ascii="Calibri" w:hAnsi="Calibri"/>
          <w:color w:val="262626" w:themeColor="text1" w:themeTint="D9"/>
        </w:rPr>
        <w:t xml:space="preserve"> premises extension and re-fit</w:t>
      </w:r>
    </w:p>
    <w:p w:rsidR="00CA6DB6" w:rsidRPr="00F73C3A" w:rsidRDefault="00361335" w:rsidP="00F61707">
      <w:pPr>
        <w:pStyle w:val="ListParagraph"/>
        <w:numPr>
          <w:ilvl w:val="0"/>
          <w:numId w:val="23"/>
        </w:numPr>
        <w:spacing w:after="0" w:line="276" w:lineRule="auto"/>
        <w:rPr>
          <w:rFonts w:ascii="Calibri" w:hAnsi="Calibri"/>
          <w:color w:val="262626" w:themeColor="text1" w:themeTint="D9"/>
        </w:rPr>
      </w:pPr>
      <w:r w:rsidRPr="00F73C3A">
        <w:rPr>
          <w:rFonts w:ascii="Calibri" w:hAnsi="Calibri"/>
          <w:color w:val="262626" w:themeColor="text1" w:themeTint="D9"/>
        </w:rPr>
        <w:t>Plant, equipment and machinery</w:t>
      </w:r>
    </w:p>
    <w:p w:rsidR="00CA6DB6" w:rsidRPr="00F73C3A" w:rsidRDefault="00361335" w:rsidP="00F61707">
      <w:pPr>
        <w:pStyle w:val="ListParagraph"/>
        <w:numPr>
          <w:ilvl w:val="0"/>
          <w:numId w:val="23"/>
        </w:numPr>
        <w:spacing w:after="0" w:line="276" w:lineRule="auto"/>
        <w:rPr>
          <w:rFonts w:ascii="Calibri" w:hAnsi="Calibri"/>
          <w:color w:val="262626" w:themeColor="text1" w:themeTint="D9"/>
        </w:rPr>
      </w:pPr>
      <w:r w:rsidRPr="00F73C3A">
        <w:rPr>
          <w:rFonts w:ascii="Calibri" w:hAnsi="Calibri"/>
          <w:color w:val="262626" w:themeColor="text1" w:themeTint="D9"/>
        </w:rPr>
        <w:t>Salary costs of new employees</w:t>
      </w:r>
      <w:r w:rsidR="00CA6DB6" w:rsidRPr="00F73C3A">
        <w:rPr>
          <w:rFonts w:ascii="Calibri" w:hAnsi="Calibri"/>
          <w:color w:val="262626" w:themeColor="text1" w:themeTint="D9"/>
        </w:rPr>
        <w:t xml:space="preserve"> whose jobs have been created as a re</w:t>
      </w:r>
      <w:r w:rsidR="00B87C67" w:rsidRPr="00F73C3A">
        <w:rPr>
          <w:rFonts w:ascii="Calibri" w:hAnsi="Calibri"/>
          <w:color w:val="262626" w:themeColor="text1" w:themeTint="D9"/>
        </w:rPr>
        <w:t xml:space="preserve">sult of the project </w:t>
      </w:r>
    </w:p>
    <w:p w:rsidR="00CA6DB6" w:rsidRPr="00F73C3A" w:rsidRDefault="00CA6DB6" w:rsidP="00267150">
      <w:pPr>
        <w:spacing w:after="0"/>
        <w:rPr>
          <w:rFonts w:ascii="Calibri" w:hAnsi="Calibri"/>
          <w:b/>
          <w:color w:val="262626" w:themeColor="text1" w:themeTint="D9"/>
        </w:rPr>
      </w:pPr>
    </w:p>
    <w:p w:rsidR="00CA6DB6" w:rsidRPr="00F73C3A" w:rsidRDefault="00A10EBD" w:rsidP="00267150">
      <w:pPr>
        <w:spacing w:after="0"/>
        <w:rPr>
          <w:rFonts w:ascii="Calibri" w:hAnsi="Calibri"/>
          <w:b/>
          <w:color w:val="262626" w:themeColor="text1" w:themeTint="D9"/>
        </w:rPr>
      </w:pPr>
      <w:r w:rsidRPr="00F73C3A">
        <w:rPr>
          <w:rFonts w:ascii="Calibri" w:hAnsi="Calibri"/>
          <w:b/>
          <w:color w:val="262626" w:themeColor="text1" w:themeTint="D9"/>
        </w:rPr>
        <w:t xml:space="preserve">R&amp;D expenditure </w:t>
      </w:r>
    </w:p>
    <w:p w:rsidR="00CA6DB6" w:rsidRPr="00F73C3A" w:rsidRDefault="00CA6DB6" w:rsidP="00F61707">
      <w:pPr>
        <w:pStyle w:val="ListParagraph"/>
        <w:numPr>
          <w:ilvl w:val="0"/>
          <w:numId w:val="23"/>
        </w:numPr>
        <w:spacing w:after="0" w:line="276" w:lineRule="auto"/>
        <w:rPr>
          <w:rFonts w:ascii="Calibri" w:hAnsi="Calibri"/>
          <w:color w:val="262626" w:themeColor="text1" w:themeTint="D9"/>
        </w:rPr>
      </w:pPr>
      <w:r w:rsidRPr="00F73C3A">
        <w:rPr>
          <w:rFonts w:ascii="Calibri" w:hAnsi="Calibri"/>
          <w:color w:val="262626" w:themeColor="text1" w:themeTint="D9"/>
        </w:rPr>
        <w:t xml:space="preserve">Eligible costs for R&amp;D </w:t>
      </w:r>
      <w:r w:rsidR="00361335" w:rsidRPr="00F73C3A">
        <w:rPr>
          <w:rFonts w:ascii="Calibri" w:hAnsi="Calibri"/>
          <w:color w:val="262626" w:themeColor="text1" w:themeTint="D9"/>
        </w:rPr>
        <w:t>i</w:t>
      </w:r>
      <w:r w:rsidRPr="00F73C3A">
        <w:rPr>
          <w:rFonts w:ascii="Calibri" w:hAnsi="Calibri"/>
          <w:color w:val="262626" w:themeColor="text1" w:themeTint="D9"/>
        </w:rPr>
        <w:t>nclude salaries (supported by timesheets), overh</w:t>
      </w:r>
      <w:r w:rsidR="00361335" w:rsidRPr="00F73C3A">
        <w:rPr>
          <w:rFonts w:ascii="Calibri" w:hAnsi="Calibri"/>
          <w:color w:val="262626" w:themeColor="text1" w:themeTint="D9"/>
        </w:rPr>
        <w:t>eads, consultancy and materials</w:t>
      </w:r>
    </w:p>
    <w:p w:rsidR="00CA6DB6" w:rsidRPr="00F73C3A" w:rsidRDefault="00CA6DB6" w:rsidP="00F61707">
      <w:pPr>
        <w:pStyle w:val="ListParagraph"/>
        <w:numPr>
          <w:ilvl w:val="0"/>
          <w:numId w:val="23"/>
        </w:numPr>
        <w:spacing w:after="0" w:line="276" w:lineRule="auto"/>
        <w:rPr>
          <w:rFonts w:ascii="Calibri" w:hAnsi="Calibri"/>
          <w:color w:val="262626" w:themeColor="text1" w:themeTint="D9"/>
        </w:rPr>
      </w:pPr>
      <w:r w:rsidRPr="00F73C3A">
        <w:rPr>
          <w:rFonts w:ascii="Calibri" w:hAnsi="Calibri"/>
          <w:color w:val="262626" w:themeColor="text1" w:themeTint="D9"/>
        </w:rPr>
        <w:t>Costs of instruments and equipment</w:t>
      </w:r>
    </w:p>
    <w:p w:rsidR="00CA6DB6" w:rsidRPr="00F73C3A" w:rsidRDefault="00CA6DB6" w:rsidP="00F61707">
      <w:pPr>
        <w:pStyle w:val="ListParagraph"/>
        <w:numPr>
          <w:ilvl w:val="0"/>
          <w:numId w:val="23"/>
        </w:numPr>
        <w:spacing w:after="0" w:line="276" w:lineRule="auto"/>
        <w:rPr>
          <w:rFonts w:ascii="Calibri" w:hAnsi="Calibri"/>
          <w:color w:val="262626" w:themeColor="text1" w:themeTint="D9"/>
        </w:rPr>
      </w:pPr>
      <w:r w:rsidRPr="00F73C3A">
        <w:rPr>
          <w:rFonts w:ascii="Calibri" w:hAnsi="Calibri"/>
          <w:color w:val="262626" w:themeColor="text1" w:themeTint="D9"/>
        </w:rPr>
        <w:t>Consultancy and other external costs</w:t>
      </w:r>
    </w:p>
    <w:p w:rsidR="00CA6DB6" w:rsidRPr="00F73C3A" w:rsidRDefault="00CA6DB6" w:rsidP="00267150">
      <w:pPr>
        <w:spacing w:after="0"/>
        <w:rPr>
          <w:rFonts w:ascii="Calibri" w:hAnsi="Calibri"/>
          <w:b/>
          <w:color w:val="262626" w:themeColor="text1" w:themeTint="D9"/>
        </w:rPr>
      </w:pPr>
    </w:p>
    <w:p w:rsidR="00CA6DB6" w:rsidRPr="00F73C3A" w:rsidRDefault="00CA6DB6" w:rsidP="00267150">
      <w:pPr>
        <w:spacing w:after="0"/>
        <w:rPr>
          <w:rFonts w:ascii="Calibri" w:hAnsi="Calibri"/>
          <w:b/>
          <w:color w:val="262626" w:themeColor="text1" w:themeTint="D9"/>
        </w:rPr>
      </w:pPr>
      <w:r w:rsidRPr="00F73C3A">
        <w:rPr>
          <w:rFonts w:ascii="Calibri" w:hAnsi="Calibri"/>
          <w:b/>
          <w:color w:val="262626" w:themeColor="text1" w:themeTint="D9"/>
        </w:rPr>
        <w:t>Training expenditure (if associated with an investment project which will create</w:t>
      </w:r>
      <w:r w:rsidR="00361335" w:rsidRPr="00F73C3A">
        <w:rPr>
          <w:rFonts w:ascii="Calibri" w:hAnsi="Calibri"/>
          <w:b/>
          <w:color w:val="262626" w:themeColor="text1" w:themeTint="D9"/>
        </w:rPr>
        <w:t xml:space="preserve">/safeguard </w:t>
      </w:r>
      <w:r w:rsidR="008869EF" w:rsidRPr="00F73C3A">
        <w:rPr>
          <w:rFonts w:ascii="Calibri" w:hAnsi="Calibri"/>
          <w:b/>
          <w:color w:val="262626" w:themeColor="text1" w:themeTint="D9"/>
        </w:rPr>
        <w:t>jobs)</w:t>
      </w:r>
    </w:p>
    <w:p w:rsidR="00CA6DB6" w:rsidRPr="00F73C3A" w:rsidRDefault="00CA6DB6" w:rsidP="00F61707">
      <w:pPr>
        <w:pStyle w:val="ListParagraph"/>
        <w:numPr>
          <w:ilvl w:val="0"/>
          <w:numId w:val="23"/>
        </w:numPr>
        <w:spacing w:after="0" w:line="276" w:lineRule="auto"/>
        <w:rPr>
          <w:rFonts w:ascii="Calibri" w:hAnsi="Calibri"/>
          <w:color w:val="262626" w:themeColor="text1" w:themeTint="D9"/>
        </w:rPr>
      </w:pPr>
      <w:r w:rsidRPr="00F73C3A">
        <w:rPr>
          <w:rFonts w:ascii="Calibri" w:hAnsi="Calibri"/>
          <w:color w:val="262626" w:themeColor="text1" w:themeTint="D9"/>
        </w:rPr>
        <w:t>Trainers’ personnel costs for time spent delivering training</w:t>
      </w:r>
    </w:p>
    <w:p w:rsidR="00CA6DB6" w:rsidRPr="00F73C3A" w:rsidRDefault="00CA6DB6" w:rsidP="00F61707">
      <w:pPr>
        <w:pStyle w:val="ListParagraph"/>
        <w:numPr>
          <w:ilvl w:val="0"/>
          <w:numId w:val="23"/>
        </w:numPr>
        <w:spacing w:after="0" w:line="276" w:lineRule="auto"/>
        <w:rPr>
          <w:rFonts w:ascii="Calibri" w:hAnsi="Calibri"/>
          <w:color w:val="262626" w:themeColor="text1" w:themeTint="D9"/>
        </w:rPr>
      </w:pPr>
      <w:r w:rsidRPr="00F73C3A">
        <w:rPr>
          <w:rFonts w:ascii="Calibri" w:hAnsi="Calibri"/>
          <w:color w:val="262626" w:themeColor="text1" w:themeTint="D9"/>
        </w:rPr>
        <w:t>Trainers’ and trainees’ operating costs directly linked to the project</w:t>
      </w:r>
    </w:p>
    <w:p w:rsidR="00B87C67" w:rsidRPr="00F73C3A" w:rsidRDefault="00B87C67" w:rsidP="00267150">
      <w:pPr>
        <w:spacing w:after="0"/>
        <w:rPr>
          <w:rFonts w:ascii="Calibri" w:hAnsi="Calibri"/>
          <w:color w:val="262626" w:themeColor="text1" w:themeTint="D9"/>
        </w:rPr>
      </w:pPr>
    </w:p>
    <w:p w:rsidR="00013962" w:rsidRPr="00F73C3A" w:rsidRDefault="00B87C67" w:rsidP="00267150">
      <w:pPr>
        <w:spacing w:after="0"/>
        <w:rPr>
          <w:rFonts w:ascii="Calibri" w:hAnsi="Calibri"/>
          <w:color w:val="262626" w:themeColor="text1" w:themeTint="D9"/>
          <w:szCs w:val="20"/>
        </w:rPr>
      </w:pPr>
      <w:r w:rsidRPr="00F73C3A">
        <w:rPr>
          <w:rFonts w:ascii="Calibri" w:hAnsi="Calibri"/>
          <w:color w:val="262626" w:themeColor="text1" w:themeTint="D9"/>
        </w:rPr>
        <w:lastRenderedPageBreak/>
        <w:t>Training costs cannot exceed 10% of total project costs.</w:t>
      </w:r>
    </w:p>
    <w:p w:rsidR="00CA6DB6" w:rsidRPr="00F73C3A" w:rsidRDefault="00CA6DB6" w:rsidP="0002758E">
      <w:pPr>
        <w:pStyle w:val="Heading2"/>
        <w:rPr>
          <w:rFonts w:ascii="Calibri" w:hAnsi="Calibri"/>
          <w:color w:val="262626" w:themeColor="text1" w:themeTint="D9"/>
        </w:rPr>
      </w:pPr>
      <w:bookmarkStart w:id="6" w:name="_Toc385964247"/>
      <w:r w:rsidRPr="00F73C3A">
        <w:rPr>
          <w:rFonts w:ascii="Calibri" w:hAnsi="Calibri"/>
          <w:color w:val="262626" w:themeColor="text1" w:themeTint="D9"/>
        </w:rPr>
        <w:t>Job creation</w:t>
      </w:r>
      <w:bookmarkEnd w:id="6"/>
      <w:r w:rsidR="00B87C67" w:rsidRPr="00F73C3A">
        <w:rPr>
          <w:rFonts w:ascii="Calibri" w:hAnsi="Calibri"/>
          <w:color w:val="262626" w:themeColor="text1" w:themeTint="D9"/>
        </w:rPr>
        <w:t xml:space="preserve"> and safeguarding</w:t>
      </w:r>
    </w:p>
    <w:p w:rsidR="00B87C67" w:rsidRPr="00F73C3A" w:rsidRDefault="00B87C67" w:rsidP="00B87C67">
      <w:pPr>
        <w:autoSpaceDE w:val="0"/>
        <w:autoSpaceDN w:val="0"/>
        <w:adjustRightInd w:val="0"/>
        <w:rPr>
          <w:rFonts w:ascii="Calibri" w:hAnsi="Calibri" w:cs="Arial"/>
          <w:color w:val="262626" w:themeColor="text1" w:themeTint="D9"/>
        </w:rPr>
      </w:pPr>
      <w:r w:rsidRPr="00F73C3A">
        <w:rPr>
          <w:rFonts w:ascii="Calibri" w:hAnsi="Calibri" w:cs="Arial"/>
          <w:color w:val="262626" w:themeColor="text1" w:themeTint="D9"/>
          <w:szCs w:val="20"/>
          <w:lang w:val="en-US"/>
        </w:rPr>
        <w:t>All investment projects must create or safeguard sustainable direct jobs, normally within the applicant business. P</w:t>
      </w:r>
      <w:r w:rsidRPr="00F73C3A">
        <w:rPr>
          <w:rFonts w:ascii="Calibri" w:hAnsi="Calibri" w:cs="Arial"/>
          <w:color w:val="262626" w:themeColor="text1" w:themeTint="D9"/>
        </w:rPr>
        <w:t>riority will be given to projects which create new permanent jobs. For safeguarded jobs, the applicant must be clearly able to demonstrate that the jobs are at imminent risk (within the next 12 months) if the project does not go ahead. Indirect jobs created within the supply chain will not normally be taken into account.</w:t>
      </w:r>
    </w:p>
    <w:p w:rsidR="00B87C67" w:rsidRPr="00F73C3A" w:rsidRDefault="00B87C67" w:rsidP="00B87C67">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The ratio of grant to jobs created/safeguarded and the cost per job will be taken into account in assessing value for money.</w:t>
      </w:r>
    </w:p>
    <w:p w:rsidR="00CA6DB6" w:rsidRPr="00F73C3A" w:rsidRDefault="00CA6DB6" w:rsidP="00267150">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 xml:space="preserve">Where aid is calculated on the basis of the investment cost of a project, the </w:t>
      </w:r>
      <w:r w:rsidR="008244D2" w:rsidRPr="00F73C3A">
        <w:rPr>
          <w:rFonts w:ascii="Calibri" w:hAnsi="Calibri" w:cs="Arial"/>
          <w:color w:val="262626" w:themeColor="text1" w:themeTint="D9"/>
          <w:szCs w:val="20"/>
          <w:lang w:val="en-US"/>
        </w:rPr>
        <w:t xml:space="preserve">intentions must be for </w:t>
      </w:r>
      <w:r w:rsidRPr="00F73C3A">
        <w:rPr>
          <w:rFonts w:ascii="Calibri" w:hAnsi="Calibri" w:cs="Arial"/>
          <w:color w:val="262626" w:themeColor="text1" w:themeTint="D9"/>
          <w:szCs w:val="20"/>
          <w:lang w:val="en-US"/>
        </w:rPr>
        <w:t xml:space="preserve">jobs created/safeguarded by the project </w:t>
      </w:r>
      <w:r w:rsidR="008244D2" w:rsidRPr="00F73C3A">
        <w:rPr>
          <w:rFonts w:ascii="Calibri" w:hAnsi="Calibri" w:cs="Arial"/>
          <w:color w:val="262626" w:themeColor="text1" w:themeTint="D9"/>
          <w:szCs w:val="20"/>
          <w:lang w:val="en-US"/>
        </w:rPr>
        <w:t>to be maintained for a minimum of five years (three</w:t>
      </w:r>
      <w:r w:rsidRPr="00F73C3A">
        <w:rPr>
          <w:rFonts w:ascii="Calibri" w:hAnsi="Calibri" w:cs="Arial"/>
          <w:color w:val="262626" w:themeColor="text1" w:themeTint="D9"/>
          <w:szCs w:val="20"/>
          <w:lang w:val="en-US"/>
        </w:rPr>
        <w:t xml:space="preserve"> years for SMEs) after the whole investment has been completed.</w:t>
      </w:r>
    </w:p>
    <w:p w:rsidR="008244D2" w:rsidRPr="00F73C3A" w:rsidRDefault="00CA6DB6" w:rsidP="00267150">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Where aid is calculated on the basis of wage costs EC State Aid rules specify that the job creation associated with the project must occur within three yea</w:t>
      </w:r>
      <w:r w:rsidR="00A10EBD" w:rsidRPr="00F73C3A">
        <w:rPr>
          <w:rFonts w:ascii="Calibri" w:hAnsi="Calibri" w:cs="Arial"/>
          <w:color w:val="262626" w:themeColor="text1" w:themeTint="D9"/>
          <w:szCs w:val="20"/>
          <w:lang w:val="en-US"/>
        </w:rPr>
        <w:t xml:space="preserve">rs of project completion </w:t>
      </w:r>
      <w:r w:rsidRPr="00F73C3A">
        <w:rPr>
          <w:rFonts w:ascii="Calibri" w:hAnsi="Calibri" w:cs="Arial"/>
          <w:color w:val="262626" w:themeColor="text1" w:themeTint="D9"/>
          <w:szCs w:val="20"/>
          <w:lang w:val="en-US"/>
        </w:rPr>
        <w:t>and each job must be maintained for a minimum period of five years in the case of employment by a large company and three years in the case of employment by a SME.</w:t>
      </w:r>
    </w:p>
    <w:p w:rsidR="00CA6DB6" w:rsidRPr="00F73C3A" w:rsidRDefault="00CA6DB6" w:rsidP="0002758E">
      <w:pPr>
        <w:pStyle w:val="Heading2"/>
        <w:rPr>
          <w:rFonts w:ascii="Calibri" w:hAnsi="Calibri"/>
          <w:color w:val="262626" w:themeColor="text1" w:themeTint="D9"/>
        </w:rPr>
      </w:pPr>
      <w:bookmarkStart w:id="7" w:name="_Toc385964248"/>
      <w:r w:rsidRPr="00F73C3A">
        <w:rPr>
          <w:rFonts w:ascii="Calibri" w:hAnsi="Calibri"/>
          <w:color w:val="262626" w:themeColor="text1" w:themeTint="D9"/>
        </w:rPr>
        <w:t>Levels of grant support available</w:t>
      </w:r>
      <w:bookmarkEnd w:id="7"/>
    </w:p>
    <w:p w:rsidR="0048098F" w:rsidRPr="00F73C3A" w:rsidRDefault="00A10EBD" w:rsidP="00267150">
      <w:pPr>
        <w:spacing w:after="0"/>
        <w:rPr>
          <w:rFonts w:ascii="Calibri" w:hAnsi="Calibri"/>
          <w:color w:val="262626" w:themeColor="text1" w:themeTint="D9"/>
        </w:rPr>
      </w:pPr>
      <w:r w:rsidRPr="00F73C3A">
        <w:rPr>
          <w:rFonts w:ascii="Calibri" w:hAnsi="Calibri"/>
          <w:color w:val="262626" w:themeColor="text1" w:themeTint="D9"/>
        </w:rPr>
        <w:t>T</w:t>
      </w:r>
      <w:r w:rsidR="00CA6DB6" w:rsidRPr="00F73C3A">
        <w:rPr>
          <w:rFonts w:ascii="Calibri" w:hAnsi="Calibri"/>
          <w:color w:val="262626" w:themeColor="text1" w:themeTint="D9"/>
        </w:rPr>
        <w:t xml:space="preserve">he minimum grant available from </w:t>
      </w:r>
      <w:r w:rsidR="00612905" w:rsidRPr="00F73C3A">
        <w:rPr>
          <w:rFonts w:ascii="Calibri" w:hAnsi="Calibri"/>
          <w:color w:val="262626" w:themeColor="text1" w:themeTint="D9"/>
        </w:rPr>
        <w:t>Cumbria Growth Fund</w:t>
      </w:r>
      <w:r w:rsidR="00CA6DB6" w:rsidRPr="00F73C3A">
        <w:rPr>
          <w:rFonts w:ascii="Calibri" w:hAnsi="Calibri"/>
          <w:color w:val="262626" w:themeColor="text1" w:themeTint="D9"/>
        </w:rPr>
        <w:t xml:space="preserve"> is £</w:t>
      </w:r>
      <w:r w:rsidR="00013962" w:rsidRPr="00F73C3A">
        <w:rPr>
          <w:rFonts w:ascii="Calibri" w:hAnsi="Calibri"/>
          <w:color w:val="262626" w:themeColor="text1" w:themeTint="D9"/>
        </w:rPr>
        <w:t>1</w:t>
      </w:r>
      <w:r w:rsidR="00CA6DB6" w:rsidRPr="00F73C3A">
        <w:rPr>
          <w:rFonts w:ascii="Calibri" w:hAnsi="Calibri"/>
          <w:color w:val="262626" w:themeColor="text1" w:themeTint="D9"/>
        </w:rPr>
        <w:t xml:space="preserve">0,000 per project and the maximum is £1m. </w:t>
      </w:r>
      <w:r w:rsidR="007B5E94" w:rsidRPr="00F73C3A">
        <w:rPr>
          <w:rFonts w:ascii="Calibri" w:hAnsi="Calibri"/>
          <w:color w:val="262626" w:themeColor="text1" w:themeTint="D9"/>
        </w:rPr>
        <w:t>A business may apply for and receive more than one grant under CGF but the total of the awards made must not exceed £1m.</w:t>
      </w:r>
    </w:p>
    <w:p w:rsidR="0048098F" w:rsidRPr="00F73C3A" w:rsidRDefault="0048098F" w:rsidP="00267150">
      <w:pPr>
        <w:spacing w:after="0"/>
        <w:rPr>
          <w:rFonts w:ascii="Calibri" w:hAnsi="Calibri"/>
          <w:color w:val="262626" w:themeColor="text1" w:themeTint="D9"/>
        </w:rPr>
      </w:pPr>
    </w:p>
    <w:p w:rsidR="002A5BF7" w:rsidRPr="00F73C3A" w:rsidRDefault="00CA6DB6" w:rsidP="00267150">
      <w:pPr>
        <w:spacing w:after="0"/>
        <w:rPr>
          <w:rFonts w:ascii="Calibri" w:hAnsi="Calibri"/>
          <w:color w:val="262626" w:themeColor="text1" w:themeTint="D9"/>
        </w:rPr>
      </w:pPr>
      <w:r w:rsidRPr="00F73C3A">
        <w:rPr>
          <w:rFonts w:ascii="Calibri" w:hAnsi="Calibri"/>
          <w:color w:val="262626" w:themeColor="text1" w:themeTint="D9"/>
        </w:rPr>
        <w:t xml:space="preserve">The maximum percentage of grant support offered </w:t>
      </w:r>
      <w:r w:rsidR="0048098F" w:rsidRPr="00F73C3A">
        <w:rPr>
          <w:rFonts w:ascii="Calibri" w:hAnsi="Calibri"/>
          <w:color w:val="262626" w:themeColor="text1" w:themeTint="D9"/>
        </w:rPr>
        <w:t>for any</w:t>
      </w:r>
      <w:r w:rsidRPr="00F73C3A">
        <w:rPr>
          <w:rFonts w:ascii="Calibri" w:hAnsi="Calibri"/>
          <w:color w:val="262626" w:themeColor="text1" w:themeTint="D9"/>
        </w:rPr>
        <w:t xml:space="preserve"> project de</w:t>
      </w:r>
      <w:r w:rsidR="002A5BF7" w:rsidRPr="00F73C3A">
        <w:rPr>
          <w:rFonts w:ascii="Calibri" w:hAnsi="Calibri"/>
          <w:color w:val="262626" w:themeColor="text1" w:themeTint="D9"/>
        </w:rPr>
        <w:t>pends on the size of the business</w:t>
      </w:r>
      <w:r w:rsidRPr="00F73C3A">
        <w:rPr>
          <w:rFonts w:ascii="Calibri" w:hAnsi="Calibri"/>
          <w:color w:val="262626" w:themeColor="text1" w:themeTint="D9"/>
        </w:rPr>
        <w:t xml:space="preserve"> and the geographic location of the project.  Grants are offered as a percentage of eligible project expenditure as shown in the table below.  The percentage indicated is the maximum permissible percentage of grant support that can be offered in each case. </w:t>
      </w:r>
    </w:p>
    <w:p w:rsidR="002A5BF7" w:rsidRPr="00F73C3A" w:rsidRDefault="002A5BF7" w:rsidP="00267150">
      <w:pPr>
        <w:spacing w:after="0"/>
        <w:rPr>
          <w:rFonts w:ascii="Calibri" w:hAnsi="Calibri"/>
          <w:color w:val="262626" w:themeColor="text1" w:themeTint="D9"/>
        </w:rPr>
      </w:pPr>
    </w:p>
    <w:p w:rsidR="002A5BF7" w:rsidRPr="004F4EE7" w:rsidRDefault="00CA6DB6" w:rsidP="00267150">
      <w:pPr>
        <w:spacing w:after="0"/>
        <w:rPr>
          <w:rFonts w:ascii="Calibri" w:hAnsi="Calibri"/>
          <w:color w:val="595959" w:themeColor="text1" w:themeTint="A6"/>
        </w:rPr>
      </w:pPr>
      <w:r w:rsidRPr="00F73C3A">
        <w:rPr>
          <w:rFonts w:ascii="Calibri" w:hAnsi="Calibri"/>
          <w:color w:val="262626" w:themeColor="text1" w:themeTint="D9"/>
        </w:rPr>
        <w:t>The Assisted Areas referred to in the table are shown on the map which can be found at</w:t>
      </w:r>
      <w:r w:rsidRPr="004F4EE7">
        <w:rPr>
          <w:rFonts w:ascii="Calibri" w:hAnsi="Calibri"/>
          <w:color w:val="595959" w:themeColor="text1" w:themeTint="A6"/>
        </w:rPr>
        <w:t xml:space="preserve"> </w:t>
      </w:r>
    </w:p>
    <w:p w:rsidR="002A5BF7" w:rsidRPr="00F73C3A" w:rsidRDefault="00F73C3A" w:rsidP="00267150">
      <w:pPr>
        <w:spacing w:after="0"/>
        <w:rPr>
          <w:rFonts w:ascii="Calibri" w:hAnsi="Calibri"/>
          <w:color w:val="262626" w:themeColor="text1" w:themeTint="D9"/>
        </w:rPr>
      </w:pPr>
      <w:hyperlink r:id="rId15" w:history="1">
        <w:r w:rsidR="002A5BF7" w:rsidRPr="004F4EE7">
          <w:rPr>
            <w:rStyle w:val="Hyperlink"/>
            <w:rFonts w:ascii="Calibri" w:hAnsi="Calibri"/>
            <w14:textFill>
              <w14:solidFill>
                <w14:srgbClr w14:val="0000FF">
                  <w14:lumMod w14:val="65000"/>
                  <w14:lumOff w14:val="35000"/>
                </w14:srgbClr>
              </w14:solidFill>
            </w14:textFill>
          </w:rPr>
          <w:t>http://www.ukassistedareasmap.com/</w:t>
        </w:r>
      </w:hyperlink>
      <w:r w:rsidR="0048098F" w:rsidRPr="004F4EE7">
        <w:rPr>
          <w:rFonts w:ascii="Calibri" w:hAnsi="Calibri"/>
          <w:color w:val="595959" w:themeColor="text1" w:themeTint="A6"/>
        </w:rPr>
        <w:t xml:space="preserve">. </w:t>
      </w:r>
      <w:r w:rsidR="0048098F" w:rsidRPr="00F73C3A">
        <w:rPr>
          <w:rFonts w:ascii="Calibri" w:hAnsi="Calibri"/>
          <w:color w:val="262626" w:themeColor="text1" w:themeTint="D9"/>
        </w:rPr>
        <w:t xml:space="preserve">It </w:t>
      </w:r>
      <w:r w:rsidR="00CA6DB6" w:rsidRPr="00F73C3A">
        <w:rPr>
          <w:rFonts w:ascii="Calibri" w:hAnsi="Calibri"/>
          <w:color w:val="262626" w:themeColor="text1" w:themeTint="D9"/>
        </w:rPr>
        <w:t>is based on ward boundaries in effect on 31</w:t>
      </w:r>
      <w:r w:rsidR="00CA6DB6" w:rsidRPr="00F73C3A">
        <w:rPr>
          <w:rFonts w:ascii="Calibri" w:hAnsi="Calibri"/>
          <w:color w:val="262626" w:themeColor="text1" w:themeTint="D9"/>
          <w:vertAlign w:val="superscript"/>
        </w:rPr>
        <w:t>st</w:t>
      </w:r>
      <w:r w:rsidR="00CA6DB6" w:rsidRPr="00F73C3A">
        <w:rPr>
          <w:rFonts w:ascii="Calibri" w:hAnsi="Calibri"/>
          <w:color w:val="262626" w:themeColor="text1" w:themeTint="D9"/>
        </w:rPr>
        <w:t xml:space="preserve"> December 2011.  A full list of eligible wards is set out in Annex C.</w:t>
      </w:r>
    </w:p>
    <w:p w:rsidR="002A5BF7" w:rsidRPr="00F73C3A" w:rsidRDefault="002A5BF7" w:rsidP="00267150">
      <w:pPr>
        <w:spacing w:after="0"/>
        <w:rPr>
          <w:rFonts w:ascii="Calibri" w:hAnsi="Calibri"/>
          <w:color w:val="262626" w:themeColor="text1" w:themeTint="D9"/>
        </w:rPr>
      </w:pPr>
    </w:p>
    <w:p w:rsidR="002A5BF7" w:rsidRPr="00F73C3A" w:rsidRDefault="002A5BF7" w:rsidP="002A5BF7">
      <w:pPr>
        <w:spacing w:after="0"/>
        <w:jc w:val="left"/>
        <w:rPr>
          <w:rFonts w:ascii="Calibri" w:hAnsi="Calibri"/>
          <w:color w:val="262626" w:themeColor="text1" w:themeTint="D9"/>
        </w:rPr>
      </w:pPr>
      <w:r w:rsidRPr="00F73C3A">
        <w:rPr>
          <w:rFonts w:ascii="Calibri" w:hAnsi="Calibri"/>
          <w:color w:val="262626" w:themeColor="text1" w:themeTint="D9"/>
        </w:rPr>
        <w:t>The SME definition is available at</w:t>
      </w:r>
    </w:p>
    <w:p w:rsidR="002A5BF7" w:rsidRPr="004F4EE7" w:rsidRDefault="00F73C3A" w:rsidP="002A5BF7">
      <w:pPr>
        <w:spacing w:after="0"/>
        <w:jc w:val="left"/>
        <w:rPr>
          <w:rFonts w:ascii="Calibri" w:hAnsi="Calibri"/>
          <w:color w:val="595959" w:themeColor="text1" w:themeTint="A6"/>
        </w:rPr>
      </w:pPr>
      <w:hyperlink r:id="rId16" w:history="1">
        <w:r w:rsidRPr="00AF2CCA">
          <w:rPr>
            <w:rStyle w:val="Hyperlink"/>
            <w:rFonts w:ascii="Calibri" w:hAnsi="Calibri"/>
            <w14:textFill>
              <w14:solidFill>
                <w14:srgbClr w14:val="0000FF">
                  <w14:lumMod w14:val="65000"/>
                  <w14:lumOff w14:val="35000"/>
                </w14:srgbClr>
              </w14:solidFill>
            </w14:textFill>
          </w:rPr>
          <w:t>http://ec.europea.eu/enterprise/policies/sme/files/sme_definition/sme_user_guide_en.pdf</w:t>
        </w:r>
      </w:hyperlink>
    </w:p>
    <w:p w:rsidR="002A5BF7" w:rsidRPr="004F4EE7" w:rsidRDefault="002A5BF7" w:rsidP="002A5BF7">
      <w:pPr>
        <w:spacing w:after="0"/>
        <w:jc w:val="left"/>
        <w:rPr>
          <w:rFonts w:ascii="Calibri" w:hAnsi="Calibri"/>
          <w:color w:val="595959" w:themeColor="text1" w:themeTint="A6"/>
        </w:rPr>
      </w:pPr>
    </w:p>
    <w:p w:rsidR="002F2C49" w:rsidRPr="00F73C3A" w:rsidRDefault="002F2C49" w:rsidP="002F2C49">
      <w:pPr>
        <w:rPr>
          <w:rFonts w:ascii="Calibri" w:hAnsi="Calibri" w:cs="Arial"/>
          <w:color w:val="262626" w:themeColor="text1" w:themeTint="D9"/>
          <w:szCs w:val="18"/>
        </w:rPr>
      </w:pPr>
      <w:r w:rsidRPr="00F73C3A">
        <w:rPr>
          <w:rFonts w:ascii="Calibri" w:hAnsi="Calibri" w:cs="Arial"/>
          <w:color w:val="262626" w:themeColor="text1" w:themeTint="D9"/>
          <w:szCs w:val="18"/>
        </w:rPr>
        <w:t xml:space="preserve">Cumbria Growth Fund aid is primarily provided under European State Aid regulations. The Fund provides the following types of aid in accordance with the EU General Block Exemption Regulation No </w:t>
      </w:r>
      <w:r w:rsidRPr="00F73C3A">
        <w:rPr>
          <w:rFonts w:ascii="Calibri" w:hAnsi="Calibri" w:cs="EUAlbertina-Bold"/>
          <w:b/>
          <w:bCs/>
          <w:color w:val="262626" w:themeColor="text1" w:themeTint="D9"/>
          <w:sz w:val="19"/>
          <w:szCs w:val="19"/>
        </w:rPr>
        <w:t>651/2014</w:t>
      </w:r>
      <w:r w:rsidRPr="00F73C3A">
        <w:rPr>
          <w:rFonts w:ascii="Calibri" w:hAnsi="Calibri" w:cs="Arial"/>
          <w:color w:val="262626" w:themeColor="text1" w:themeTint="D9"/>
          <w:szCs w:val="18"/>
        </w:rPr>
        <w:t>(“GBER”):</w:t>
      </w:r>
    </w:p>
    <w:p w:rsidR="002F2C49" w:rsidRPr="00F73C3A" w:rsidRDefault="002F2C49" w:rsidP="002F2C49">
      <w:pPr>
        <w:pStyle w:val="ListParagraph"/>
        <w:numPr>
          <w:ilvl w:val="0"/>
          <w:numId w:val="1"/>
        </w:numPr>
        <w:rPr>
          <w:rFonts w:ascii="Calibri" w:hAnsi="Calibri" w:cs="Arial"/>
          <w:color w:val="262626" w:themeColor="text1" w:themeTint="D9"/>
          <w:szCs w:val="18"/>
        </w:rPr>
      </w:pPr>
      <w:r w:rsidRPr="00F73C3A">
        <w:rPr>
          <w:rFonts w:ascii="Calibri" w:hAnsi="Calibri" w:cs="Arial"/>
          <w:color w:val="262626" w:themeColor="text1" w:themeTint="D9"/>
          <w:szCs w:val="18"/>
        </w:rPr>
        <w:t>Regional investment aid (Article 13)</w:t>
      </w:r>
    </w:p>
    <w:p w:rsidR="002F2C49" w:rsidRPr="00F73C3A" w:rsidRDefault="002F2C49" w:rsidP="002F2C49">
      <w:pPr>
        <w:pStyle w:val="ListParagraph"/>
        <w:numPr>
          <w:ilvl w:val="0"/>
          <w:numId w:val="1"/>
        </w:numPr>
        <w:rPr>
          <w:rFonts w:ascii="Calibri" w:hAnsi="Calibri" w:cs="Arial"/>
          <w:color w:val="262626" w:themeColor="text1" w:themeTint="D9"/>
          <w:szCs w:val="18"/>
        </w:rPr>
      </w:pPr>
      <w:r w:rsidRPr="00F73C3A">
        <w:rPr>
          <w:rFonts w:ascii="Calibri" w:hAnsi="Calibri" w:cs="Arial"/>
          <w:color w:val="262626" w:themeColor="text1" w:themeTint="D9"/>
          <w:szCs w:val="18"/>
        </w:rPr>
        <w:t>Investment aid to SMEs (Article 17)</w:t>
      </w:r>
    </w:p>
    <w:p w:rsidR="002F2C49" w:rsidRPr="00F73C3A" w:rsidRDefault="002F2C49" w:rsidP="002F2C49">
      <w:pPr>
        <w:pStyle w:val="ListParagraph"/>
        <w:numPr>
          <w:ilvl w:val="0"/>
          <w:numId w:val="1"/>
        </w:numPr>
        <w:rPr>
          <w:rFonts w:ascii="Calibri" w:hAnsi="Calibri" w:cs="Arial"/>
          <w:color w:val="262626" w:themeColor="text1" w:themeTint="D9"/>
          <w:szCs w:val="18"/>
        </w:rPr>
      </w:pPr>
      <w:r w:rsidRPr="00F73C3A">
        <w:rPr>
          <w:rFonts w:ascii="Calibri" w:hAnsi="Calibri" w:cs="Arial"/>
          <w:color w:val="262626" w:themeColor="text1" w:themeTint="D9"/>
          <w:szCs w:val="18"/>
        </w:rPr>
        <w:t xml:space="preserve">Aid for research and development projects (Article 25)  </w:t>
      </w:r>
    </w:p>
    <w:p w:rsidR="002F2C49" w:rsidRPr="00F73C3A" w:rsidRDefault="002F2C49" w:rsidP="002F2C49">
      <w:pPr>
        <w:pStyle w:val="ListParagraph"/>
        <w:numPr>
          <w:ilvl w:val="0"/>
          <w:numId w:val="1"/>
        </w:numPr>
        <w:rPr>
          <w:rFonts w:ascii="Calibri" w:hAnsi="Calibri" w:cs="Arial"/>
          <w:color w:val="262626" w:themeColor="text1" w:themeTint="D9"/>
          <w:szCs w:val="18"/>
        </w:rPr>
      </w:pPr>
      <w:r w:rsidRPr="00F73C3A">
        <w:rPr>
          <w:rFonts w:ascii="Calibri" w:hAnsi="Calibri" w:cs="Arial"/>
          <w:color w:val="262626" w:themeColor="text1" w:themeTint="D9"/>
          <w:szCs w:val="18"/>
        </w:rPr>
        <w:t>Training aid (Article 31)</w:t>
      </w:r>
    </w:p>
    <w:p w:rsidR="002F2C49" w:rsidRPr="00F73C3A" w:rsidRDefault="002F2C49" w:rsidP="002F2C49">
      <w:pPr>
        <w:pStyle w:val="ListParagraph"/>
        <w:numPr>
          <w:ilvl w:val="0"/>
          <w:numId w:val="1"/>
        </w:numPr>
        <w:rPr>
          <w:rFonts w:ascii="Calibri" w:hAnsi="Calibri" w:cs="Arial"/>
          <w:color w:val="262626" w:themeColor="text1" w:themeTint="D9"/>
          <w:szCs w:val="18"/>
        </w:rPr>
      </w:pPr>
      <w:r w:rsidRPr="00F73C3A">
        <w:rPr>
          <w:rFonts w:ascii="Calibri" w:hAnsi="Calibri" w:cs="Arial"/>
          <w:color w:val="262626" w:themeColor="text1" w:themeTint="D9"/>
          <w:szCs w:val="18"/>
        </w:rPr>
        <w:t>Aid to disadvantaged or disabled workers (Articles 32 and 33).</w:t>
      </w:r>
    </w:p>
    <w:p w:rsidR="002F2C49" w:rsidRPr="00F73C3A" w:rsidRDefault="002F2C49" w:rsidP="002F2C49">
      <w:pPr>
        <w:rPr>
          <w:rFonts w:ascii="Calibri" w:hAnsi="Calibri" w:cs="Arial"/>
          <w:color w:val="262626" w:themeColor="text1" w:themeTint="D9"/>
          <w:szCs w:val="18"/>
        </w:rPr>
      </w:pPr>
      <w:r w:rsidRPr="00F73C3A">
        <w:rPr>
          <w:rFonts w:ascii="Calibri" w:hAnsi="Calibri" w:cs="Arial"/>
          <w:color w:val="262626" w:themeColor="text1" w:themeTint="D9"/>
          <w:szCs w:val="18"/>
        </w:rPr>
        <w:t>This has the following limits for the rate of assistance given:</w:t>
      </w:r>
    </w:p>
    <w:p w:rsidR="00CA6DB6" w:rsidRPr="00F73C3A" w:rsidRDefault="002A5BF7" w:rsidP="002F2C49">
      <w:pPr>
        <w:pStyle w:val="ListParagraph"/>
        <w:numPr>
          <w:ilvl w:val="0"/>
          <w:numId w:val="60"/>
        </w:numPr>
        <w:spacing w:after="0"/>
        <w:rPr>
          <w:rFonts w:ascii="Calibri" w:hAnsi="Calibri"/>
          <w:color w:val="262626" w:themeColor="text1" w:themeTint="D9"/>
          <w:szCs w:val="20"/>
        </w:rPr>
      </w:pPr>
      <w:r w:rsidRPr="00F73C3A">
        <w:rPr>
          <w:rFonts w:ascii="Calibri" w:hAnsi="Calibri"/>
          <w:color w:val="262626" w:themeColor="text1" w:themeTint="D9"/>
          <w:szCs w:val="20"/>
        </w:rPr>
        <w:t>Capital Expenditure</w:t>
      </w:r>
    </w:p>
    <w:p w:rsidR="00CA6DB6" w:rsidRPr="00F73C3A" w:rsidRDefault="00CA6DB6" w:rsidP="00267150">
      <w:pPr>
        <w:spacing w:after="0"/>
        <w:rPr>
          <w:rFonts w:ascii="Calibri" w:hAnsi="Calibri"/>
          <w:color w:val="262626" w:themeColor="text1" w:themeTint="D9"/>
        </w:rPr>
      </w:pPr>
    </w:p>
    <w:tbl>
      <w:tblPr>
        <w:tblW w:w="5900" w:type="dxa"/>
        <w:tblInd w:w="93" w:type="dxa"/>
        <w:tblLook w:val="04A0" w:firstRow="1" w:lastRow="0" w:firstColumn="1" w:lastColumn="0" w:noHBand="0" w:noVBand="1"/>
      </w:tblPr>
      <w:tblGrid>
        <w:gridCol w:w="2600"/>
        <w:gridCol w:w="1640"/>
        <w:gridCol w:w="1660"/>
      </w:tblGrid>
      <w:tr w:rsidR="00F73C3A" w:rsidRPr="00F73C3A" w:rsidTr="00CF5107">
        <w:trPr>
          <w:trHeight w:val="87"/>
        </w:trPr>
        <w:tc>
          <w:tcPr>
            <w:tcW w:w="2600" w:type="dxa"/>
            <w:tcBorders>
              <w:top w:val="single" w:sz="12" w:space="0" w:color="1F497D" w:themeColor="text2"/>
              <w:left w:val="nil"/>
              <w:bottom w:val="nil"/>
              <w:right w:val="nil"/>
            </w:tcBorders>
            <w:shd w:val="clear" w:color="auto" w:fill="auto"/>
            <w:noWrap/>
            <w:vAlign w:val="bottom"/>
            <w:hideMark/>
          </w:tcPr>
          <w:p w:rsidR="00CA6DB6" w:rsidRPr="00F73C3A" w:rsidRDefault="00CA6DB6" w:rsidP="00267150">
            <w:pPr>
              <w:spacing w:after="0"/>
              <w:rPr>
                <w:rFonts w:ascii="Calibri" w:hAnsi="Calibri" w:cs="Arial"/>
                <w:b/>
                <w:bCs/>
                <w:color w:val="262626" w:themeColor="text1" w:themeTint="D9"/>
                <w:lang w:eastAsia="en-GB"/>
              </w:rPr>
            </w:pPr>
            <w:r w:rsidRPr="00F73C3A">
              <w:rPr>
                <w:rFonts w:ascii="Calibri" w:hAnsi="Calibri" w:cs="Arial"/>
                <w:b/>
                <w:bCs/>
                <w:color w:val="262626" w:themeColor="text1" w:themeTint="D9"/>
                <w:lang w:eastAsia="en-GB"/>
              </w:rPr>
              <w:t>Size of company</w:t>
            </w:r>
          </w:p>
        </w:tc>
        <w:tc>
          <w:tcPr>
            <w:tcW w:w="1640" w:type="dxa"/>
            <w:tcBorders>
              <w:top w:val="single" w:sz="12" w:space="0" w:color="1F497D" w:themeColor="text2"/>
              <w:left w:val="nil"/>
              <w:bottom w:val="nil"/>
              <w:right w:val="nil"/>
            </w:tcBorders>
            <w:shd w:val="clear" w:color="auto" w:fill="auto"/>
            <w:noWrap/>
            <w:vAlign w:val="bottom"/>
            <w:hideMark/>
          </w:tcPr>
          <w:p w:rsidR="00CA6DB6" w:rsidRPr="00F73C3A" w:rsidRDefault="00CA6DB6" w:rsidP="00267150">
            <w:pPr>
              <w:spacing w:after="0"/>
              <w:rPr>
                <w:rFonts w:ascii="Calibri" w:hAnsi="Calibri" w:cs="Arial"/>
                <w:b/>
                <w:bCs/>
                <w:color w:val="262626" w:themeColor="text1" w:themeTint="D9"/>
                <w:lang w:eastAsia="en-GB"/>
              </w:rPr>
            </w:pPr>
            <w:r w:rsidRPr="00F73C3A">
              <w:rPr>
                <w:rFonts w:ascii="Calibri" w:hAnsi="Calibri" w:cs="Arial"/>
                <w:b/>
                <w:bCs/>
                <w:color w:val="262626" w:themeColor="text1" w:themeTint="D9"/>
                <w:lang w:eastAsia="en-GB"/>
              </w:rPr>
              <w:t>Non-assisted</w:t>
            </w:r>
          </w:p>
        </w:tc>
        <w:tc>
          <w:tcPr>
            <w:tcW w:w="1660" w:type="dxa"/>
            <w:tcBorders>
              <w:top w:val="single" w:sz="12" w:space="0" w:color="1F497D" w:themeColor="text2"/>
              <w:left w:val="nil"/>
              <w:bottom w:val="nil"/>
              <w:right w:val="nil"/>
            </w:tcBorders>
            <w:shd w:val="clear" w:color="auto" w:fill="auto"/>
            <w:noWrap/>
            <w:vAlign w:val="bottom"/>
            <w:hideMark/>
          </w:tcPr>
          <w:p w:rsidR="00CA6DB6" w:rsidRPr="00F73C3A" w:rsidRDefault="00CA6DB6" w:rsidP="00267150">
            <w:pPr>
              <w:spacing w:after="0"/>
              <w:rPr>
                <w:rFonts w:ascii="Calibri" w:hAnsi="Calibri" w:cs="Arial"/>
                <w:b/>
                <w:bCs/>
                <w:color w:val="262626" w:themeColor="text1" w:themeTint="D9"/>
                <w:lang w:eastAsia="en-GB"/>
              </w:rPr>
            </w:pPr>
            <w:r w:rsidRPr="00F73C3A">
              <w:rPr>
                <w:rFonts w:ascii="Calibri" w:hAnsi="Calibri" w:cs="Arial"/>
                <w:b/>
                <w:bCs/>
                <w:color w:val="262626" w:themeColor="text1" w:themeTint="D9"/>
                <w:lang w:eastAsia="en-GB"/>
              </w:rPr>
              <w:t xml:space="preserve">Assisted </w:t>
            </w:r>
          </w:p>
        </w:tc>
      </w:tr>
      <w:tr w:rsidR="00F73C3A" w:rsidRPr="00F73C3A" w:rsidTr="00CF5107">
        <w:trPr>
          <w:trHeight w:val="300"/>
        </w:trPr>
        <w:tc>
          <w:tcPr>
            <w:tcW w:w="2600" w:type="dxa"/>
            <w:tcBorders>
              <w:top w:val="nil"/>
              <w:left w:val="nil"/>
              <w:bottom w:val="single" w:sz="6" w:space="0" w:color="1F497D" w:themeColor="text2"/>
              <w:right w:val="nil"/>
            </w:tcBorders>
            <w:shd w:val="clear" w:color="auto" w:fill="auto"/>
            <w:noWrap/>
            <w:vAlign w:val="bottom"/>
            <w:hideMark/>
          </w:tcPr>
          <w:p w:rsidR="00CA6DB6" w:rsidRPr="00F73C3A" w:rsidRDefault="00CA6DB6" w:rsidP="00267150">
            <w:pPr>
              <w:rPr>
                <w:rFonts w:ascii="Calibri" w:hAnsi="Calibri" w:cs="Arial"/>
                <w:b/>
                <w:bCs/>
                <w:color w:val="262626" w:themeColor="text1" w:themeTint="D9"/>
                <w:lang w:eastAsia="en-GB"/>
              </w:rPr>
            </w:pPr>
            <w:r w:rsidRPr="00F73C3A">
              <w:rPr>
                <w:rFonts w:ascii="Calibri" w:hAnsi="Calibri" w:cs="Arial"/>
                <w:b/>
                <w:bCs/>
                <w:color w:val="262626" w:themeColor="text1" w:themeTint="D9"/>
                <w:lang w:eastAsia="en-GB"/>
              </w:rPr>
              <w:t> </w:t>
            </w:r>
          </w:p>
        </w:tc>
        <w:tc>
          <w:tcPr>
            <w:tcW w:w="1640" w:type="dxa"/>
            <w:tcBorders>
              <w:top w:val="nil"/>
              <w:left w:val="nil"/>
              <w:bottom w:val="single" w:sz="6" w:space="0" w:color="1F497D" w:themeColor="text2"/>
              <w:right w:val="nil"/>
            </w:tcBorders>
            <w:shd w:val="clear" w:color="auto" w:fill="auto"/>
            <w:noWrap/>
            <w:vAlign w:val="bottom"/>
            <w:hideMark/>
          </w:tcPr>
          <w:p w:rsidR="00CA6DB6" w:rsidRPr="00F73C3A" w:rsidRDefault="00CA6DB6" w:rsidP="00267150">
            <w:pPr>
              <w:rPr>
                <w:rFonts w:ascii="Calibri" w:hAnsi="Calibri" w:cs="Arial"/>
                <w:b/>
                <w:bCs/>
                <w:color w:val="262626" w:themeColor="text1" w:themeTint="D9"/>
                <w:lang w:eastAsia="en-GB"/>
              </w:rPr>
            </w:pPr>
            <w:r w:rsidRPr="00F73C3A">
              <w:rPr>
                <w:rFonts w:ascii="Calibri" w:hAnsi="Calibri" w:cs="Arial"/>
                <w:b/>
                <w:bCs/>
                <w:color w:val="262626" w:themeColor="text1" w:themeTint="D9"/>
                <w:lang w:eastAsia="en-GB"/>
              </w:rPr>
              <w:t>area</w:t>
            </w:r>
          </w:p>
        </w:tc>
        <w:tc>
          <w:tcPr>
            <w:tcW w:w="1660" w:type="dxa"/>
            <w:tcBorders>
              <w:top w:val="nil"/>
              <w:left w:val="nil"/>
              <w:bottom w:val="single" w:sz="6" w:space="0" w:color="1F497D" w:themeColor="text2"/>
              <w:right w:val="nil"/>
            </w:tcBorders>
            <w:shd w:val="clear" w:color="auto" w:fill="auto"/>
            <w:noWrap/>
            <w:vAlign w:val="bottom"/>
            <w:hideMark/>
          </w:tcPr>
          <w:p w:rsidR="00CA6DB6" w:rsidRPr="00F73C3A" w:rsidRDefault="00CA6DB6" w:rsidP="00267150">
            <w:pPr>
              <w:rPr>
                <w:rFonts w:ascii="Calibri" w:hAnsi="Calibri" w:cs="Arial"/>
                <w:b/>
                <w:bCs/>
                <w:color w:val="262626" w:themeColor="text1" w:themeTint="D9"/>
                <w:lang w:eastAsia="en-GB"/>
              </w:rPr>
            </w:pPr>
            <w:r w:rsidRPr="00F73C3A">
              <w:rPr>
                <w:rFonts w:ascii="Calibri" w:hAnsi="Calibri" w:cs="Arial"/>
                <w:b/>
                <w:bCs/>
                <w:color w:val="262626" w:themeColor="text1" w:themeTint="D9"/>
                <w:lang w:eastAsia="en-GB"/>
              </w:rPr>
              <w:t>Area</w:t>
            </w:r>
          </w:p>
        </w:tc>
      </w:tr>
      <w:tr w:rsidR="00F73C3A" w:rsidRPr="00F73C3A" w:rsidTr="00CF5107">
        <w:trPr>
          <w:trHeight w:val="285"/>
        </w:trPr>
        <w:tc>
          <w:tcPr>
            <w:tcW w:w="2600" w:type="dxa"/>
            <w:tcBorders>
              <w:top w:val="single" w:sz="6" w:space="0" w:color="1F497D" w:themeColor="text2"/>
              <w:left w:val="nil"/>
              <w:bottom w:val="nil"/>
              <w:right w:val="nil"/>
            </w:tcBorders>
            <w:shd w:val="clear" w:color="auto" w:fill="auto"/>
            <w:noWrap/>
            <w:vAlign w:val="center"/>
            <w:hideMark/>
          </w:tcPr>
          <w:p w:rsidR="00CA6DB6" w:rsidRPr="00F73C3A" w:rsidRDefault="00CA6DB6" w:rsidP="00267150">
            <w:pPr>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Large</w:t>
            </w:r>
          </w:p>
        </w:tc>
        <w:tc>
          <w:tcPr>
            <w:tcW w:w="1640" w:type="dxa"/>
            <w:tcBorders>
              <w:top w:val="single" w:sz="6" w:space="0" w:color="1F497D" w:themeColor="text2"/>
              <w:left w:val="nil"/>
              <w:bottom w:val="nil"/>
              <w:right w:val="nil"/>
            </w:tcBorders>
            <w:shd w:val="clear" w:color="auto" w:fill="auto"/>
            <w:noWrap/>
            <w:vAlign w:val="center"/>
            <w:hideMark/>
          </w:tcPr>
          <w:p w:rsidR="00CA6DB6" w:rsidRPr="00F73C3A" w:rsidRDefault="00CA6DB6" w:rsidP="00267150">
            <w:pPr>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0%</w:t>
            </w:r>
          </w:p>
        </w:tc>
        <w:tc>
          <w:tcPr>
            <w:tcW w:w="1660" w:type="dxa"/>
            <w:tcBorders>
              <w:top w:val="single" w:sz="6" w:space="0" w:color="1F497D" w:themeColor="text2"/>
              <w:left w:val="nil"/>
              <w:bottom w:val="nil"/>
              <w:right w:val="nil"/>
            </w:tcBorders>
            <w:shd w:val="clear" w:color="auto" w:fill="auto"/>
            <w:noWrap/>
            <w:vAlign w:val="center"/>
            <w:hideMark/>
          </w:tcPr>
          <w:p w:rsidR="00CA6DB6" w:rsidRPr="00F73C3A" w:rsidRDefault="00CA6DB6" w:rsidP="00267150">
            <w:pPr>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10%</w:t>
            </w:r>
          </w:p>
        </w:tc>
      </w:tr>
      <w:tr w:rsidR="00F73C3A" w:rsidRPr="00F73C3A" w:rsidTr="00CF5107">
        <w:trPr>
          <w:trHeight w:val="285"/>
        </w:trPr>
        <w:tc>
          <w:tcPr>
            <w:tcW w:w="2600" w:type="dxa"/>
            <w:tcBorders>
              <w:top w:val="nil"/>
              <w:left w:val="nil"/>
              <w:right w:val="nil"/>
            </w:tcBorders>
            <w:shd w:val="clear" w:color="auto" w:fill="auto"/>
            <w:noWrap/>
            <w:vAlign w:val="center"/>
            <w:hideMark/>
          </w:tcPr>
          <w:p w:rsidR="00CA6DB6" w:rsidRPr="00F73C3A" w:rsidRDefault="00CA6DB6" w:rsidP="00267150">
            <w:pPr>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Medium</w:t>
            </w:r>
          </w:p>
        </w:tc>
        <w:tc>
          <w:tcPr>
            <w:tcW w:w="1640" w:type="dxa"/>
            <w:tcBorders>
              <w:top w:val="nil"/>
              <w:left w:val="nil"/>
              <w:right w:val="nil"/>
            </w:tcBorders>
            <w:shd w:val="clear" w:color="auto" w:fill="auto"/>
            <w:noWrap/>
            <w:vAlign w:val="center"/>
            <w:hideMark/>
          </w:tcPr>
          <w:p w:rsidR="00CA6DB6" w:rsidRPr="00F73C3A" w:rsidRDefault="00CA6DB6" w:rsidP="00267150">
            <w:pPr>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10%</w:t>
            </w:r>
          </w:p>
        </w:tc>
        <w:tc>
          <w:tcPr>
            <w:tcW w:w="1660" w:type="dxa"/>
            <w:tcBorders>
              <w:top w:val="nil"/>
              <w:left w:val="nil"/>
              <w:right w:val="nil"/>
            </w:tcBorders>
            <w:shd w:val="clear" w:color="auto" w:fill="auto"/>
            <w:noWrap/>
            <w:vAlign w:val="center"/>
            <w:hideMark/>
          </w:tcPr>
          <w:p w:rsidR="00CA6DB6" w:rsidRPr="00F73C3A" w:rsidRDefault="00CA6DB6" w:rsidP="00267150">
            <w:pPr>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20%</w:t>
            </w:r>
          </w:p>
        </w:tc>
      </w:tr>
      <w:tr w:rsidR="00CA6DB6" w:rsidRPr="00F73C3A" w:rsidTr="00CF5107">
        <w:trPr>
          <w:trHeight w:val="285"/>
        </w:trPr>
        <w:tc>
          <w:tcPr>
            <w:tcW w:w="2600" w:type="dxa"/>
            <w:tcBorders>
              <w:top w:val="nil"/>
              <w:left w:val="nil"/>
              <w:bottom w:val="single" w:sz="12" w:space="0" w:color="1F497D" w:themeColor="text2"/>
              <w:right w:val="nil"/>
            </w:tcBorders>
            <w:shd w:val="clear" w:color="auto" w:fill="auto"/>
            <w:noWrap/>
            <w:vAlign w:val="center"/>
            <w:hideMark/>
          </w:tcPr>
          <w:p w:rsidR="00CA6DB6" w:rsidRPr="00F73C3A" w:rsidRDefault="00CA6DB6" w:rsidP="00267150">
            <w:pPr>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Small</w:t>
            </w:r>
          </w:p>
        </w:tc>
        <w:tc>
          <w:tcPr>
            <w:tcW w:w="1640" w:type="dxa"/>
            <w:tcBorders>
              <w:top w:val="nil"/>
              <w:left w:val="nil"/>
              <w:bottom w:val="single" w:sz="12" w:space="0" w:color="1F497D" w:themeColor="text2"/>
              <w:right w:val="nil"/>
            </w:tcBorders>
            <w:shd w:val="clear" w:color="auto" w:fill="auto"/>
            <w:noWrap/>
            <w:vAlign w:val="center"/>
            <w:hideMark/>
          </w:tcPr>
          <w:p w:rsidR="00CA6DB6" w:rsidRPr="00F73C3A" w:rsidRDefault="00CA6DB6" w:rsidP="00267150">
            <w:pPr>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20%</w:t>
            </w:r>
          </w:p>
        </w:tc>
        <w:tc>
          <w:tcPr>
            <w:tcW w:w="1660" w:type="dxa"/>
            <w:tcBorders>
              <w:top w:val="nil"/>
              <w:left w:val="nil"/>
              <w:bottom w:val="single" w:sz="12" w:space="0" w:color="1F497D" w:themeColor="text2"/>
              <w:right w:val="nil"/>
            </w:tcBorders>
            <w:shd w:val="clear" w:color="auto" w:fill="auto"/>
            <w:noWrap/>
            <w:vAlign w:val="center"/>
            <w:hideMark/>
          </w:tcPr>
          <w:p w:rsidR="00CA6DB6" w:rsidRPr="00F73C3A" w:rsidRDefault="00CA6DB6" w:rsidP="00267150">
            <w:pPr>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30%</w:t>
            </w:r>
          </w:p>
        </w:tc>
      </w:tr>
    </w:tbl>
    <w:p w:rsidR="00CA6DB6" w:rsidRPr="00F73C3A" w:rsidRDefault="00CA6DB6" w:rsidP="00267150">
      <w:pPr>
        <w:autoSpaceDE w:val="0"/>
        <w:autoSpaceDN w:val="0"/>
        <w:adjustRightInd w:val="0"/>
        <w:rPr>
          <w:rFonts w:ascii="Calibri" w:hAnsi="Calibri" w:cs="Arial"/>
          <w:color w:val="262626" w:themeColor="text1" w:themeTint="D9"/>
          <w:szCs w:val="20"/>
          <w:lang w:val="en-US"/>
        </w:rPr>
      </w:pPr>
    </w:p>
    <w:p w:rsidR="00CA6DB6" w:rsidRPr="00F73C3A" w:rsidRDefault="002A5BF7" w:rsidP="002F2C49">
      <w:pPr>
        <w:pStyle w:val="ListParagraph"/>
        <w:numPr>
          <w:ilvl w:val="0"/>
          <w:numId w:val="60"/>
        </w:numPr>
        <w:rPr>
          <w:rFonts w:ascii="Calibri" w:hAnsi="Calibri"/>
          <w:color w:val="262626" w:themeColor="text1" w:themeTint="D9"/>
          <w:szCs w:val="20"/>
        </w:rPr>
      </w:pPr>
      <w:r w:rsidRPr="00F73C3A">
        <w:rPr>
          <w:rFonts w:ascii="Calibri" w:hAnsi="Calibri"/>
          <w:color w:val="262626" w:themeColor="text1" w:themeTint="D9"/>
          <w:szCs w:val="20"/>
        </w:rPr>
        <w:t>R&amp;D and Training Expenditure</w:t>
      </w:r>
    </w:p>
    <w:p w:rsidR="00CA6DB6" w:rsidRPr="00F73C3A" w:rsidRDefault="00CA6DB6" w:rsidP="002F2C49">
      <w:pPr>
        <w:rPr>
          <w:rFonts w:ascii="Calibri" w:hAnsi="Calibri" w:cs="Arial"/>
          <w:color w:val="262626" w:themeColor="text1" w:themeTint="D9"/>
          <w:szCs w:val="20"/>
        </w:rPr>
      </w:pPr>
      <w:r w:rsidRPr="00F73C3A">
        <w:rPr>
          <w:rFonts w:ascii="Calibri" w:hAnsi="Calibri" w:cs="Arial"/>
          <w:color w:val="262626" w:themeColor="text1" w:themeTint="D9"/>
          <w:szCs w:val="20"/>
        </w:rPr>
        <w:t>All sizes of business, i</w:t>
      </w:r>
      <w:r w:rsidR="002F2C49" w:rsidRPr="00F73C3A">
        <w:rPr>
          <w:rFonts w:ascii="Calibri" w:hAnsi="Calibri" w:cs="Arial"/>
          <w:color w:val="262626" w:themeColor="text1" w:themeTint="D9"/>
          <w:szCs w:val="20"/>
        </w:rPr>
        <w:t xml:space="preserve">rrespective of </w:t>
      </w:r>
      <w:r w:rsidR="00E072E1" w:rsidRPr="00F73C3A">
        <w:rPr>
          <w:rFonts w:ascii="Calibri" w:hAnsi="Calibri" w:cs="Arial"/>
          <w:color w:val="262626" w:themeColor="text1" w:themeTint="D9"/>
          <w:szCs w:val="20"/>
        </w:rPr>
        <w:t>location</w:t>
      </w:r>
      <w:r w:rsidR="004F4EE7" w:rsidRPr="00F73C3A">
        <w:rPr>
          <w:rFonts w:ascii="Calibri" w:hAnsi="Calibri" w:cs="Arial"/>
          <w:color w:val="262626" w:themeColor="text1" w:themeTint="D9"/>
          <w:szCs w:val="20"/>
        </w:rPr>
        <w:t xml:space="preserve"> 25% for development research, 50% for industrial research and 50% for training. </w:t>
      </w:r>
    </w:p>
    <w:p w:rsidR="00CA6DB6" w:rsidRPr="00F73C3A" w:rsidRDefault="00013962" w:rsidP="00267150">
      <w:pPr>
        <w:rPr>
          <w:rFonts w:ascii="Calibri" w:hAnsi="Calibri"/>
          <w:color w:val="262626" w:themeColor="text1" w:themeTint="D9"/>
        </w:rPr>
      </w:pPr>
      <w:r w:rsidRPr="00F73C3A">
        <w:rPr>
          <w:rFonts w:ascii="Calibri" w:hAnsi="Calibri" w:cs="Arial"/>
          <w:color w:val="262626" w:themeColor="text1" w:themeTint="D9"/>
          <w:szCs w:val="20"/>
        </w:rPr>
        <w:t>In exceptional circumstances grants may be awarded at a rate of up to 50% of the first year’s salary for workers who are classed as disadvantaged.</w:t>
      </w:r>
    </w:p>
    <w:p w:rsidR="00C42964" w:rsidRPr="00324836" w:rsidRDefault="00C42964" w:rsidP="00C42964">
      <w:pPr>
        <w:rPr>
          <w:rFonts w:ascii="Calibri" w:hAnsi="Calibri" w:cs="Arial"/>
          <w:b/>
          <w:color w:val="262626" w:themeColor="text1" w:themeTint="D9"/>
          <w:szCs w:val="18"/>
        </w:rPr>
      </w:pPr>
      <w:r w:rsidRPr="00324836">
        <w:rPr>
          <w:rFonts w:ascii="Calibri" w:hAnsi="Calibri" w:cs="Arial"/>
          <w:b/>
          <w:color w:val="262626" w:themeColor="text1" w:themeTint="D9"/>
          <w:szCs w:val="18"/>
        </w:rPr>
        <w:t>Use of de minimis, training aid and aid to disadvantaged workers</w:t>
      </w:r>
    </w:p>
    <w:p w:rsidR="00C42964" w:rsidRPr="008E3841" w:rsidRDefault="00C42964" w:rsidP="00C42964">
      <w:pPr>
        <w:rPr>
          <w:rFonts w:ascii="Calibri" w:hAnsi="Calibri" w:cs="Arial"/>
          <w:color w:val="262626" w:themeColor="text1" w:themeTint="D9"/>
          <w:szCs w:val="18"/>
        </w:rPr>
      </w:pPr>
      <w:r w:rsidRPr="008E3841">
        <w:rPr>
          <w:rFonts w:ascii="Calibri" w:hAnsi="Calibri" w:cs="Arial"/>
          <w:color w:val="262626" w:themeColor="text1" w:themeTint="D9"/>
          <w:szCs w:val="18"/>
        </w:rPr>
        <w:t>The fund is also able to offer a limited number of grants under de minimis aid as set out in the EU Regulation no 1407/2013. This can only be utilised when certain conditions apply and the grant cannot exceed the limits available under the GBER exemptions referred to above.</w:t>
      </w:r>
    </w:p>
    <w:p w:rsidR="00C42964" w:rsidRPr="008E3841" w:rsidRDefault="00C42964" w:rsidP="00C42964">
      <w:pPr>
        <w:rPr>
          <w:rFonts w:ascii="Calibri" w:hAnsi="Calibri" w:cs="Arial"/>
          <w:color w:val="262626" w:themeColor="text1" w:themeTint="D9"/>
          <w:szCs w:val="18"/>
        </w:rPr>
      </w:pPr>
      <w:r w:rsidRPr="008E3841">
        <w:rPr>
          <w:rFonts w:ascii="Calibri" w:hAnsi="Calibri" w:cs="Arial"/>
          <w:color w:val="262626" w:themeColor="text1" w:themeTint="D9"/>
          <w:szCs w:val="18"/>
        </w:rPr>
        <w:t>The total of any support provided under training aid, de minimis and aid to disadvantaged workers cannot exceed 15% of the overall programme funds of £4m. This may restrict the Chamber’s ability to offer grants under these measures.</w:t>
      </w:r>
    </w:p>
    <w:p w:rsidR="00C42964" w:rsidRPr="008E3841" w:rsidRDefault="00C42964" w:rsidP="00C42964">
      <w:pPr>
        <w:rPr>
          <w:rFonts w:ascii="Calibri" w:hAnsi="Calibri" w:cs="Arial"/>
          <w:color w:val="262626" w:themeColor="text1" w:themeTint="D9"/>
          <w:szCs w:val="20"/>
          <w:lang w:val="en-US"/>
        </w:rPr>
      </w:pPr>
      <w:r w:rsidRPr="008E3841">
        <w:rPr>
          <w:rFonts w:ascii="Calibri" w:hAnsi="Calibri" w:cs="Arial"/>
          <w:color w:val="262626" w:themeColor="text1" w:themeTint="D9"/>
          <w:szCs w:val="20"/>
          <w:lang w:val="en-US"/>
        </w:rPr>
        <w:t>De minimis aid:</w:t>
      </w:r>
    </w:p>
    <w:p w:rsidR="00C42964" w:rsidRPr="008E3841" w:rsidRDefault="00C42964" w:rsidP="00C42964">
      <w:pPr>
        <w:pStyle w:val="ListParagraph"/>
        <w:numPr>
          <w:ilvl w:val="0"/>
          <w:numId w:val="68"/>
        </w:numPr>
        <w:spacing w:after="0" w:line="276" w:lineRule="auto"/>
        <w:contextualSpacing w:val="0"/>
        <w:jc w:val="left"/>
        <w:rPr>
          <w:rFonts w:ascii="Calibri" w:hAnsi="Calibri"/>
          <w:bCs/>
          <w:iCs/>
          <w:color w:val="262626" w:themeColor="text1" w:themeTint="D9"/>
        </w:rPr>
      </w:pPr>
      <w:r w:rsidRPr="008E3841">
        <w:rPr>
          <w:rFonts w:ascii="Calibri" w:hAnsi="Calibri"/>
          <w:bCs/>
          <w:iCs/>
          <w:color w:val="262626" w:themeColor="text1" w:themeTint="D9"/>
        </w:rPr>
        <w:t>will only be provided for costs that would be eligible under a provision within GBER (to ensure that it is only used for investment in productive capacity rather than on operating expenses</w:t>
      </w:r>
    </w:p>
    <w:p w:rsidR="00C42964" w:rsidRPr="008E3841" w:rsidRDefault="00C42964" w:rsidP="00C42964">
      <w:pPr>
        <w:pStyle w:val="ListParagraph"/>
        <w:numPr>
          <w:ilvl w:val="0"/>
          <w:numId w:val="68"/>
        </w:numPr>
        <w:spacing w:after="0" w:line="276" w:lineRule="auto"/>
        <w:contextualSpacing w:val="0"/>
        <w:jc w:val="left"/>
        <w:rPr>
          <w:rFonts w:ascii="Calibri" w:hAnsi="Calibri"/>
          <w:bCs/>
          <w:iCs/>
          <w:color w:val="262626" w:themeColor="text1" w:themeTint="D9"/>
        </w:rPr>
      </w:pPr>
      <w:r w:rsidRPr="008E3841">
        <w:rPr>
          <w:rFonts w:ascii="Calibri" w:hAnsi="Calibri"/>
          <w:bCs/>
          <w:iCs/>
          <w:color w:val="262626" w:themeColor="text1" w:themeTint="D9"/>
        </w:rPr>
        <w:t>for capital investment projects will  be restricted to a maximum of 10% above the intervention rates thresholds which would apply to the beneficiary under the GBER vehicles of Regional Aid or Investment Aid to SMEs (covers small, medium and large companies and allows flexibility to apply the same level of support to large companies regardless of their geographical location)</w:t>
      </w:r>
    </w:p>
    <w:p w:rsidR="00C42964" w:rsidRPr="008E3841" w:rsidRDefault="00C42964" w:rsidP="00C42964">
      <w:pPr>
        <w:pStyle w:val="ListParagraph"/>
        <w:numPr>
          <w:ilvl w:val="0"/>
          <w:numId w:val="68"/>
        </w:numPr>
        <w:spacing w:after="0" w:line="276" w:lineRule="auto"/>
        <w:contextualSpacing w:val="0"/>
        <w:jc w:val="left"/>
        <w:rPr>
          <w:rFonts w:ascii="Calibri" w:hAnsi="Calibri"/>
          <w:bCs/>
          <w:iCs/>
          <w:color w:val="262626" w:themeColor="text1" w:themeTint="D9"/>
        </w:rPr>
      </w:pPr>
      <w:r w:rsidRPr="008E3841">
        <w:rPr>
          <w:rFonts w:ascii="Calibri" w:hAnsi="Calibri"/>
          <w:bCs/>
          <w:iCs/>
          <w:color w:val="262626" w:themeColor="text1" w:themeTint="D9"/>
        </w:rPr>
        <w:t>is used only where there is no suitable GBER state aid vehicle for the project</w:t>
      </w:r>
    </w:p>
    <w:p w:rsidR="00C42964" w:rsidRPr="008E3841" w:rsidRDefault="00C42964" w:rsidP="00C42964">
      <w:pPr>
        <w:pStyle w:val="ListParagraph"/>
        <w:numPr>
          <w:ilvl w:val="0"/>
          <w:numId w:val="68"/>
        </w:numPr>
        <w:spacing w:after="0" w:line="276" w:lineRule="auto"/>
        <w:contextualSpacing w:val="0"/>
        <w:jc w:val="left"/>
        <w:rPr>
          <w:rFonts w:ascii="Calibri" w:hAnsi="Calibri"/>
          <w:bCs/>
          <w:iCs/>
          <w:color w:val="262626" w:themeColor="text1" w:themeTint="D9"/>
        </w:rPr>
      </w:pPr>
      <w:r w:rsidRPr="008E3841">
        <w:rPr>
          <w:rFonts w:ascii="Calibri" w:hAnsi="Calibri"/>
          <w:bCs/>
          <w:iCs/>
          <w:color w:val="262626" w:themeColor="text1" w:themeTint="D9"/>
        </w:rPr>
        <w:t>will not be given as a top up to any other type of aid (de minimis cannot be mixed with GBER support for the same company)</w:t>
      </w:r>
    </w:p>
    <w:p w:rsidR="000011CF" w:rsidRPr="00F73C3A" w:rsidRDefault="00CA6DB6" w:rsidP="00854ED5">
      <w:pPr>
        <w:pStyle w:val="Heading1"/>
        <w:rPr>
          <w:rFonts w:ascii="Calibri" w:hAnsi="Calibri"/>
          <w:color w:val="262626" w:themeColor="text1" w:themeTint="D9"/>
        </w:rPr>
      </w:pPr>
      <w:bookmarkStart w:id="8" w:name="_Toc349308460"/>
      <w:r w:rsidRPr="00F73C3A">
        <w:rPr>
          <w:rFonts w:ascii="Calibri" w:hAnsi="Calibri"/>
          <w:color w:val="262626" w:themeColor="text1" w:themeTint="D9"/>
        </w:rPr>
        <w:t>P</w:t>
      </w:r>
      <w:r w:rsidR="000011CF" w:rsidRPr="00F73C3A">
        <w:rPr>
          <w:rFonts w:ascii="Calibri" w:hAnsi="Calibri"/>
          <w:color w:val="262626" w:themeColor="text1" w:themeTint="D9"/>
        </w:rPr>
        <w:t>ART 2</w:t>
      </w:r>
      <w:r w:rsidR="00522BCB" w:rsidRPr="00F73C3A">
        <w:rPr>
          <w:rFonts w:ascii="Calibri" w:hAnsi="Calibri"/>
          <w:color w:val="262626" w:themeColor="text1" w:themeTint="D9"/>
        </w:rPr>
        <w:t>:</w:t>
      </w:r>
      <w:r w:rsidR="000011CF" w:rsidRPr="00F73C3A">
        <w:rPr>
          <w:rFonts w:ascii="Calibri" w:hAnsi="Calibri"/>
          <w:color w:val="262626" w:themeColor="text1" w:themeTint="D9"/>
        </w:rPr>
        <w:t xml:space="preserve"> ELIGIBILITY CRITERIA</w:t>
      </w:r>
      <w:bookmarkEnd w:id="8"/>
    </w:p>
    <w:p w:rsidR="002A5BF7" w:rsidRPr="00F73C3A" w:rsidRDefault="002A5BF7" w:rsidP="00267150">
      <w:pPr>
        <w:rPr>
          <w:rFonts w:ascii="Calibri" w:hAnsi="Calibri"/>
          <w:color w:val="262626" w:themeColor="text1" w:themeTint="D9"/>
        </w:rPr>
      </w:pPr>
    </w:p>
    <w:p w:rsidR="000011CF" w:rsidRPr="00F73C3A" w:rsidRDefault="00612905" w:rsidP="00267150">
      <w:pPr>
        <w:rPr>
          <w:rFonts w:ascii="Calibri" w:hAnsi="Calibri"/>
          <w:color w:val="262626" w:themeColor="text1" w:themeTint="D9"/>
        </w:rPr>
      </w:pPr>
      <w:r w:rsidRPr="00F73C3A">
        <w:rPr>
          <w:rFonts w:ascii="Calibri" w:hAnsi="Calibri"/>
          <w:color w:val="262626" w:themeColor="text1" w:themeTint="D9"/>
        </w:rPr>
        <w:t>Cumbria Growth Fund</w:t>
      </w:r>
      <w:r w:rsidR="007A2574" w:rsidRPr="00F73C3A">
        <w:rPr>
          <w:rFonts w:ascii="Calibri" w:hAnsi="Calibri"/>
          <w:color w:val="262626" w:themeColor="text1" w:themeTint="D9"/>
        </w:rPr>
        <w:t xml:space="preserve"> </w:t>
      </w:r>
      <w:r w:rsidR="000011CF" w:rsidRPr="00F73C3A">
        <w:rPr>
          <w:rFonts w:ascii="Calibri" w:hAnsi="Calibri"/>
          <w:color w:val="262626" w:themeColor="text1" w:themeTint="D9"/>
        </w:rPr>
        <w:t>may offer discretionary grants to business</w:t>
      </w:r>
      <w:r w:rsidR="004F5EB9" w:rsidRPr="00F73C3A">
        <w:rPr>
          <w:rFonts w:ascii="Calibri" w:hAnsi="Calibri"/>
          <w:color w:val="262626" w:themeColor="text1" w:themeTint="D9"/>
        </w:rPr>
        <w:t>es</w:t>
      </w:r>
      <w:r w:rsidR="000011CF" w:rsidRPr="00F73C3A">
        <w:rPr>
          <w:rFonts w:ascii="Calibri" w:hAnsi="Calibri"/>
          <w:color w:val="262626" w:themeColor="text1" w:themeTint="D9"/>
        </w:rPr>
        <w:t xml:space="preserve"> which fulfil the criteria set out in these guidelines. The following key criteria are described further in this section:</w:t>
      </w:r>
    </w:p>
    <w:p w:rsidR="000011CF" w:rsidRPr="00F73C3A" w:rsidRDefault="000011CF" w:rsidP="00F61707">
      <w:pPr>
        <w:pStyle w:val="ListParagraph"/>
        <w:numPr>
          <w:ilvl w:val="0"/>
          <w:numId w:val="2"/>
        </w:numPr>
        <w:rPr>
          <w:rFonts w:ascii="Calibri" w:hAnsi="Calibri"/>
          <w:color w:val="262626" w:themeColor="text1" w:themeTint="D9"/>
        </w:rPr>
      </w:pPr>
      <w:r w:rsidRPr="00F73C3A">
        <w:rPr>
          <w:rFonts w:ascii="Calibri" w:hAnsi="Calibri"/>
          <w:color w:val="262626" w:themeColor="text1" w:themeTint="D9"/>
        </w:rPr>
        <w:t>Location</w:t>
      </w:r>
    </w:p>
    <w:p w:rsidR="000011CF" w:rsidRPr="00F73C3A" w:rsidRDefault="000011CF" w:rsidP="00F61707">
      <w:pPr>
        <w:pStyle w:val="ListParagraph"/>
        <w:numPr>
          <w:ilvl w:val="0"/>
          <w:numId w:val="2"/>
        </w:numPr>
        <w:rPr>
          <w:rFonts w:ascii="Calibri" w:hAnsi="Calibri"/>
          <w:color w:val="262626" w:themeColor="text1" w:themeTint="D9"/>
        </w:rPr>
      </w:pPr>
      <w:r w:rsidRPr="00F73C3A">
        <w:rPr>
          <w:rFonts w:ascii="Calibri" w:hAnsi="Calibri"/>
          <w:color w:val="262626" w:themeColor="text1" w:themeTint="D9"/>
        </w:rPr>
        <w:t>Eligible activity</w:t>
      </w:r>
    </w:p>
    <w:p w:rsidR="000011CF" w:rsidRPr="00F73C3A" w:rsidRDefault="000011CF" w:rsidP="00F61707">
      <w:pPr>
        <w:pStyle w:val="ListParagraph"/>
        <w:numPr>
          <w:ilvl w:val="0"/>
          <w:numId w:val="2"/>
        </w:numPr>
        <w:rPr>
          <w:rFonts w:ascii="Calibri" w:hAnsi="Calibri"/>
          <w:color w:val="262626" w:themeColor="text1" w:themeTint="D9"/>
        </w:rPr>
      </w:pPr>
      <w:r w:rsidRPr="00F73C3A">
        <w:rPr>
          <w:rFonts w:ascii="Calibri" w:hAnsi="Calibri"/>
          <w:color w:val="262626" w:themeColor="text1" w:themeTint="D9"/>
        </w:rPr>
        <w:t>Eligible project costs</w:t>
      </w:r>
    </w:p>
    <w:p w:rsidR="000011CF" w:rsidRPr="00F73C3A" w:rsidRDefault="000011CF" w:rsidP="00F61707">
      <w:pPr>
        <w:pStyle w:val="ListParagraph"/>
        <w:numPr>
          <w:ilvl w:val="0"/>
          <w:numId w:val="2"/>
        </w:numPr>
        <w:rPr>
          <w:rFonts w:ascii="Calibri" w:hAnsi="Calibri"/>
          <w:color w:val="262626" w:themeColor="text1" w:themeTint="D9"/>
        </w:rPr>
      </w:pPr>
      <w:r w:rsidRPr="00F73C3A">
        <w:rPr>
          <w:rFonts w:ascii="Calibri" w:hAnsi="Calibri"/>
          <w:color w:val="262626" w:themeColor="text1" w:themeTint="D9"/>
        </w:rPr>
        <w:t>Creation or safeguarding of jobs</w:t>
      </w:r>
    </w:p>
    <w:p w:rsidR="000011CF" w:rsidRPr="00F73C3A" w:rsidRDefault="000011CF" w:rsidP="00F61707">
      <w:pPr>
        <w:pStyle w:val="ListParagraph"/>
        <w:numPr>
          <w:ilvl w:val="0"/>
          <w:numId w:val="2"/>
        </w:numPr>
        <w:rPr>
          <w:rFonts w:ascii="Calibri" w:hAnsi="Calibri"/>
          <w:color w:val="262626" w:themeColor="text1" w:themeTint="D9"/>
        </w:rPr>
      </w:pPr>
      <w:r w:rsidRPr="00F73C3A">
        <w:rPr>
          <w:rFonts w:ascii="Calibri" w:hAnsi="Calibri"/>
          <w:color w:val="262626" w:themeColor="text1" w:themeTint="D9"/>
        </w:rPr>
        <w:t>Viability</w:t>
      </w:r>
    </w:p>
    <w:p w:rsidR="000011CF" w:rsidRPr="00F73C3A" w:rsidRDefault="000011CF" w:rsidP="00F61707">
      <w:pPr>
        <w:pStyle w:val="ListParagraph"/>
        <w:numPr>
          <w:ilvl w:val="0"/>
          <w:numId w:val="2"/>
        </w:numPr>
        <w:rPr>
          <w:rFonts w:ascii="Calibri" w:hAnsi="Calibri"/>
          <w:color w:val="262626" w:themeColor="text1" w:themeTint="D9"/>
        </w:rPr>
      </w:pPr>
      <w:r w:rsidRPr="00F73C3A">
        <w:rPr>
          <w:rFonts w:ascii="Calibri" w:hAnsi="Calibri"/>
          <w:color w:val="262626" w:themeColor="text1" w:themeTint="D9"/>
        </w:rPr>
        <w:t>Additionality – there must be an incentive effect</w:t>
      </w:r>
    </w:p>
    <w:p w:rsidR="000011CF" w:rsidRPr="00F73C3A" w:rsidRDefault="000011CF" w:rsidP="00F61707">
      <w:pPr>
        <w:pStyle w:val="ListParagraph"/>
        <w:numPr>
          <w:ilvl w:val="0"/>
          <w:numId w:val="2"/>
        </w:numPr>
        <w:rPr>
          <w:rFonts w:ascii="Calibri" w:hAnsi="Calibri"/>
          <w:color w:val="262626" w:themeColor="text1" w:themeTint="D9"/>
        </w:rPr>
      </w:pPr>
      <w:r w:rsidRPr="00F73C3A">
        <w:rPr>
          <w:rFonts w:ascii="Calibri" w:hAnsi="Calibri"/>
          <w:color w:val="262626" w:themeColor="text1" w:themeTint="D9"/>
        </w:rPr>
        <w:t>Gross Grant Equivalent (GGE) limits</w:t>
      </w:r>
    </w:p>
    <w:p w:rsidR="000011CF" w:rsidRPr="00F73C3A" w:rsidRDefault="000011CF" w:rsidP="00F61707">
      <w:pPr>
        <w:pStyle w:val="ListParagraph"/>
        <w:numPr>
          <w:ilvl w:val="0"/>
          <w:numId w:val="2"/>
        </w:numPr>
        <w:rPr>
          <w:rFonts w:ascii="Calibri" w:hAnsi="Calibri"/>
          <w:color w:val="262626" w:themeColor="text1" w:themeTint="D9"/>
        </w:rPr>
      </w:pPr>
      <w:r w:rsidRPr="00F73C3A">
        <w:rPr>
          <w:rFonts w:ascii="Calibri" w:hAnsi="Calibri"/>
          <w:color w:val="262626" w:themeColor="text1" w:themeTint="D9"/>
        </w:rPr>
        <w:t>No prior start</w:t>
      </w:r>
    </w:p>
    <w:p w:rsidR="000011CF" w:rsidRPr="00F73C3A" w:rsidRDefault="000011CF" w:rsidP="0002758E">
      <w:pPr>
        <w:pStyle w:val="Heading2"/>
        <w:rPr>
          <w:rFonts w:ascii="Calibri" w:hAnsi="Calibri"/>
          <w:color w:val="262626" w:themeColor="text1" w:themeTint="D9"/>
        </w:rPr>
      </w:pPr>
      <w:bookmarkStart w:id="9" w:name="_Toc349308461"/>
      <w:r w:rsidRPr="00F73C3A">
        <w:rPr>
          <w:rFonts w:ascii="Calibri" w:hAnsi="Calibri"/>
          <w:color w:val="262626" w:themeColor="text1" w:themeTint="D9"/>
        </w:rPr>
        <w:t>Location</w:t>
      </w:r>
      <w:bookmarkEnd w:id="9"/>
    </w:p>
    <w:p w:rsidR="00A2309A" w:rsidRPr="00F73C3A" w:rsidRDefault="000011CF" w:rsidP="00267150">
      <w:pPr>
        <w:rPr>
          <w:rFonts w:ascii="Calibri" w:hAnsi="Calibri"/>
          <w:color w:val="262626" w:themeColor="text1" w:themeTint="D9"/>
        </w:rPr>
      </w:pPr>
      <w:r w:rsidRPr="00F73C3A">
        <w:rPr>
          <w:rFonts w:ascii="Calibri" w:hAnsi="Calibri"/>
          <w:color w:val="262626" w:themeColor="text1" w:themeTint="D9"/>
        </w:rPr>
        <w:t>The Assisted Areas Order 20</w:t>
      </w:r>
      <w:r w:rsidR="00DA6ACE" w:rsidRPr="00F73C3A">
        <w:rPr>
          <w:rFonts w:ascii="Calibri" w:hAnsi="Calibri"/>
          <w:color w:val="262626" w:themeColor="text1" w:themeTint="D9"/>
        </w:rPr>
        <w:t>14</w:t>
      </w:r>
      <w:r w:rsidRPr="00F73C3A">
        <w:rPr>
          <w:rFonts w:ascii="Calibri" w:hAnsi="Calibri"/>
          <w:color w:val="262626" w:themeColor="text1" w:themeTint="D9"/>
        </w:rPr>
        <w:t xml:space="preserve"> defines the Assisted Areas of Great Britain </w:t>
      </w:r>
      <w:r w:rsidR="007A2574" w:rsidRPr="00F73C3A">
        <w:rPr>
          <w:rFonts w:ascii="Calibri" w:hAnsi="Calibri"/>
          <w:color w:val="262626" w:themeColor="text1" w:themeTint="D9"/>
        </w:rPr>
        <w:t xml:space="preserve">for the period from 1 </w:t>
      </w:r>
      <w:r w:rsidR="00DA6ACE" w:rsidRPr="00F73C3A">
        <w:rPr>
          <w:rFonts w:ascii="Calibri" w:hAnsi="Calibri"/>
          <w:color w:val="262626" w:themeColor="text1" w:themeTint="D9"/>
        </w:rPr>
        <w:t>July 2014</w:t>
      </w:r>
      <w:r w:rsidR="007A2574" w:rsidRPr="00F73C3A">
        <w:rPr>
          <w:rFonts w:ascii="Calibri" w:hAnsi="Calibri"/>
          <w:color w:val="262626" w:themeColor="text1" w:themeTint="D9"/>
        </w:rPr>
        <w:t xml:space="preserve"> to 31 December 20</w:t>
      </w:r>
      <w:r w:rsidR="00DA6ACE" w:rsidRPr="00F73C3A">
        <w:rPr>
          <w:rFonts w:ascii="Calibri" w:hAnsi="Calibri"/>
          <w:color w:val="262626" w:themeColor="text1" w:themeTint="D9"/>
        </w:rPr>
        <w:t>20</w:t>
      </w:r>
      <w:r w:rsidRPr="00F73C3A">
        <w:rPr>
          <w:rFonts w:ascii="Calibri" w:hAnsi="Calibri"/>
          <w:color w:val="262626" w:themeColor="text1" w:themeTint="D9"/>
        </w:rPr>
        <w:t xml:space="preserve">. The areas are based on </w:t>
      </w:r>
      <w:r w:rsidR="00DA6ACE" w:rsidRPr="00F73C3A">
        <w:rPr>
          <w:rFonts w:ascii="Calibri" w:hAnsi="Calibri"/>
          <w:color w:val="262626" w:themeColor="text1" w:themeTint="D9"/>
        </w:rPr>
        <w:t>ward boundaries in effect on 31 December 2011</w:t>
      </w:r>
      <w:r w:rsidRPr="00F73C3A">
        <w:rPr>
          <w:rFonts w:ascii="Calibri" w:hAnsi="Calibri"/>
          <w:color w:val="262626" w:themeColor="text1" w:themeTint="D9"/>
        </w:rPr>
        <w:t xml:space="preserve"> and a full list of Assisted Area wards in the </w:t>
      </w:r>
      <w:r w:rsidR="00612905" w:rsidRPr="00F73C3A">
        <w:rPr>
          <w:rFonts w:ascii="Calibri" w:hAnsi="Calibri"/>
          <w:color w:val="262626" w:themeColor="text1" w:themeTint="D9"/>
        </w:rPr>
        <w:t>Cumbria</w:t>
      </w:r>
      <w:r w:rsidRPr="00F73C3A">
        <w:rPr>
          <w:rFonts w:ascii="Calibri" w:hAnsi="Calibri"/>
          <w:color w:val="262626" w:themeColor="text1" w:themeTint="D9"/>
        </w:rPr>
        <w:t xml:space="preserve"> is set out at Annex </w:t>
      </w:r>
      <w:r w:rsidR="006714D9" w:rsidRPr="00F73C3A">
        <w:rPr>
          <w:rFonts w:ascii="Calibri" w:hAnsi="Calibri"/>
          <w:color w:val="262626" w:themeColor="text1" w:themeTint="D9"/>
        </w:rPr>
        <w:t>C</w:t>
      </w:r>
      <w:r w:rsidR="007A2574" w:rsidRPr="00F73C3A">
        <w:rPr>
          <w:rFonts w:ascii="Calibri" w:hAnsi="Calibri"/>
          <w:color w:val="262626" w:themeColor="text1" w:themeTint="D9"/>
        </w:rPr>
        <w:t xml:space="preserve">. </w:t>
      </w:r>
      <w:r w:rsidR="00A2309A" w:rsidRPr="00F73C3A">
        <w:rPr>
          <w:rFonts w:ascii="Calibri" w:hAnsi="Calibri"/>
          <w:color w:val="262626" w:themeColor="text1" w:themeTint="D9"/>
        </w:rPr>
        <w:t xml:space="preserve">Any offers made </w:t>
      </w:r>
      <w:r w:rsidR="00DA6ACE" w:rsidRPr="00F73C3A">
        <w:rPr>
          <w:rFonts w:ascii="Calibri" w:hAnsi="Calibri"/>
          <w:color w:val="262626" w:themeColor="text1" w:themeTint="D9"/>
        </w:rPr>
        <w:t xml:space="preserve">under Regional Investment Aid </w:t>
      </w:r>
      <w:r w:rsidR="00A2309A" w:rsidRPr="00F73C3A">
        <w:rPr>
          <w:rFonts w:ascii="Calibri" w:hAnsi="Calibri"/>
          <w:color w:val="262626" w:themeColor="text1" w:themeTint="D9"/>
        </w:rPr>
        <w:t xml:space="preserve">will be based on </w:t>
      </w:r>
      <w:r w:rsidR="00DA6ACE" w:rsidRPr="00F73C3A">
        <w:rPr>
          <w:rFonts w:ascii="Calibri" w:hAnsi="Calibri"/>
          <w:color w:val="262626" w:themeColor="text1" w:themeTint="D9"/>
        </w:rPr>
        <w:t>this</w:t>
      </w:r>
      <w:r w:rsidR="00A2309A" w:rsidRPr="00F73C3A">
        <w:rPr>
          <w:rFonts w:ascii="Calibri" w:hAnsi="Calibri"/>
          <w:color w:val="262626" w:themeColor="text1" w:themeTint="D9"/>
        </w:rPr>
        <w:t xml:space="preserve"> Assisted Areas Order.</w:t>
      </w:r>
    </w:p>
    <w:p w:rsidR="00CF5107" w:rsidRPr="00F73C3A" w:rsidRDefault="000011CF" w:rsidP="00267150">
      <w:pPr>
        <w:rPr>
          <w:rFonts w:ascii="Calibri" w:hAnsi="Calibri" w:cs="EUAlbertina-Bold"/>
          <w:bCs/>
          <w:color w:val="262626" w:themeColor="text1" w:themeTint="D9"/>
          <w:sz w:val="19"/>
          <w:szCs w:val="19"/>
        </w:rPr>
      </w:pPr>
      <w:r w:rsidRPr="00F73C3A">
        <w:rPr>
          <w:rFonts w:ascii="Calibri" w:hAnsi="Calibri"/>
          <w:color w:val="262626" w:themeColor="text1" w:themeTint="D9"/>
        </w:rPr>
        <w:t xml:space="preserve">Within the Assisted Areas </w:t>
      </w:r>
      <w:r w:rsidR="00612905" w:rsidRPr="00F73C3A">
        <w:rPr>
          <w:rFonts w:ascii="Calibri" w:hAnsi="Calibri"/>
          <w:color w:val="262626" w:themeColor="text1" w:themeTint="D9"/>
        </w:rPr>
        <w:t>Cumbria Growth Fund</w:t>
      </w:r>
      <w:r w:rsidR="00A2309A" w:rsidRPr="00F73C3A">
        <w:rPr>
          <w:rFonts w:ascii="Calibri" w:hAnsi="Calibri"/>
          <w:color w:val="262626" w:themeColor="text1" w:themeTint="D9"/>
        </w:rPr>
        <w:t xml:space="preserve"> </w:t>
      </w:r>
      <w:r w:rsidR="00DA6ACE" w:rsidRPr="00F73C3A">
        <w:rPr>
          <w:rFonts w:ascii="Calibri" w:hAnsi="Calibri"/>
          <w:color w:val="262626" w:themeColor="text1" w:themeTint="D9"/>
        </w:rPr>
        <w:t xml:space="preserve">capital </w:t>
      </w:r>
      <w:r w:rsidR="00C404DD" w:rsidRPr="00F73C3A">
        <w:rPr>
          <w:rFonts w:ascii="Calibri" w:hAnsi="Calibri"/>
          <w:color w:val="262626" w:themeColor="text1" w:themeTint="D9"/>
        </w:rPr>
        <w:t xml:space="preserve">investment </w:t>
      </w:r>
      <w:r w:rsidRPr="00F73C3A">
        <w:rPr>
          <w:rFonts w:ascii="Calibri" w:hAnsi="Calibri"/>
          <w:color w:val="262626" w:themeColor="text1" w:themeTint="D9"/>
        </w:rPr>
        <w:t>support may be given to large companies</w:t>
      </w:r>
      <w:r w:rsidR="00DA6ACE" w:rsidRPr="00F73C3A">
        <w:rPr>
          <w:rFonts w:ascii="Calibri" w:hAnsi="Calibri"/>
          <w:color w:val="262626" w:themeColor="text1" w:themeTint="D9"/>
        </w:rPr>
        <w:t xml:space="preserve"> (only where the project relates to an initial investment in favour of new economic activity</w:t>
      </w:r>
      <w:r w:rsidR="00975102" w:rsidRPr="00F73C3A">
        <w:rPr>
          <w:rFonts w:ascii="Calibri" w:hAnsi="Calibri"/>
          <w:color w:val="262626" w:themeColor="text1" w:themeTint="D9"/>
        </w:rPr>
        <w:t xml:space="preserve"> </w:t>
      </w:r>
      <w:r w:rsidR="00B65258" w:rsidRPr="00F73C3A">
        <w:rPr>
          <w:rFonts w:ascii="Calibri" w:hAnsi="Calibri"/>
          <w:color w:val="262626" w:themeColor="text1" w:themeTint="D9"/>
        </w:rPr>
        <w:t>(</w:t>
      </w:r>
      <w:r w:rsidR="00975102" w:rsidRPr="00F73C3A">
        <w:rPr>
          <w:rFonts w:ascii="Calibri" w:hAnsi="Calibri"/>
          <w:color w:val="262626" w:themeColor="text1" w:themeTint="D9"/>
        </w:rPr>
        <w:t>as defined in Annex A</w:t>
      </w:r>
      <w:r w:rsidR="00B65258" w:rsidRPr="00F73C3A">
        <w:rPr>
          <w:rFonts w:ascii="Calibri" w:hAnsi="Calibri"/>
          <w:color w:val="262626" w:themeColor="text1" w:themeTint="D9"/>
        </w:rPr>
        <w:t>) in the area concerned</w:t>
      </w:r>
      <w:r w:rsidR="0043018E" w:rsidRPr="00F73C3A">
        <w:rPr>
          <w:rFonts w:ascii="Calibri" w:hAnsi="Calibri"/>
          <w:color w:val="262626" w:themeColor="text1" w:themeTint="D9"/>
        </w:rPr>
        <w:t xml:space="preserve"> </w:t>
      </w:r>
      <w:r w:rsidR="002A5BF7" w:rsidRPr="00F73C3A">
        <w:rPr>
          <w:rFonts w:ascii="Calibri" w:hAnsi="Calibri"/>
          <w:color w:val="262626" w:themeColor="text1" w:themeTint="D9"/>
        </w:rPr>
        <w:t>(</w:t>
      </w:r>
      <w:r w:rsidR="0043018E" w:rsidRPr="00F73C3A">
        <w:rPr>
          <w:rFonts w:ascii="Calibri" w:hAnsi="Calibri"/>
          <w:color w:val="262626" w:themeColor="text1" w:themeTint="D9"/>
        </w:rPr>
        <w:t xml:space="preserve">see </w:t>
      </w:r>
      <w:r w:rsidR="00FC02A8" w:rsidRPr="00F73C3A">
        <w:rPr>
          <w:rFonts w:ascii="Calibri" w:hAnsi="Calibri"/>
          <w:color w:val="262626" w:themeColor="text1" w:themeTint="D9"/>
        </w:rPr>
        <w:t>flowchart at Annex E</w:t>
      </w:r>
      <w:r w:rsidR="00DA6ACE" w:rsidRPr="00F73C3A">
        <w:rPr>
          <w:rFonts w:ascii="Calibri" w:hAnsi="Calibri"/>
          <w:color w:val="262626" w:themeColor="text1" w:themeTint="D9"/>
        </w:rPr>
        <w:t>)</w:t>
      </w:r>
      <w:r w:rsidRPr="00F73C3A">
        <w:rPr>
          <w:rFonts w:ascii="Calibri" w:hAnsi="Calibri"/>
          <w:color w:val="262626" w:themeColor="text1" w:themeTint="D9"/>
        </w:rPr>
        <w:t xml:space="preserve"> and SMEs as long as the scheme operates within the rules set out in the </w:t>
      </w:r>
      <w:r w:rsidR="00DA6ACE" w:rsidRPr="00F73C3A">
        <w:rPr>
          <w:rFonts w:ascii="Calibri" w:hAnsi="Calibri"/>
          <w:color w:val="262626" w:themeColor="text1" w:themeTint="D9"/>
        </w:rPr>
        <w:t xml:space="preserve">guidelines </w:t>
      </w:r>
      <w:r w:rsidR="00DA6ACE" w:rsidRPr="00F73C3A">
        <w:rPr>
          <w:rFonts w:ascii="Calibri" w:hAnsi="Calibri"/>
          <w:color w:val="262626" w:themeColor="text1" w:themeTint="D9"/>
        </w:rPr>
        <w:lastRenderedPageBreak/>
        <w:t>on regional state aid for 2014-20</w:t>
      </w:r>
      <w:r w:rsidR="005051FD" w:rsidRPr="00F73C3A">
        <w:rPr>
          <w:rFonts w:ascii="Calibri" w:hAnsi="Calibri"/>
          <w:color w:val="262626" w:themeColor="text1" w:themeTint="D9"/>
        </w:rPr>
        <w:t>20</w:t>
      </w:r>
      <w:r w:rsidRPr="00F73C3A">
        <w:rPr>
          <w:rFonts w:ascii="Calibri" w:hAnsi="Calibri"/>
          <w:color w:val="262626" w:themeColor="text1" w:themeTint="D9"/>
        </w:rPr>
        <w:t xml:space="preserve"> (OJ </w:t>
      </w:r>
      <w:r w:rsidR="00DA6ACE" w:rsidRPr="00F73C3A">
        <w:rPr>
          <w:rFonts w:ascii="Calibri" w:hAnsi="Calibri"/>
          <w:color w:val="262626" w:themeColor="text1" w:themeTint="D9"/>
        </w:rPr>
        <w:t>2013/C 209/01</w:t>
      </w:r>
      <w:r w:rsidRPr="00F73C3A">
        <w:rPr>
          <w:rFonts w:ascii="Calibri" w:hAnsi="Calibri"/>
          <w:color w:val="262626" w:themeColor="text1" w:themeTint="D9"/>
        </w:rPr>
        <w:t>) and the Commission General Block Exemption Regulation</w:t>
      </w:r>
      <w:r w:rsidR="00B65258" w:rsidRPr="00F73C3A">
        <w:rPr>
          <w:rFonts w:ascii="Calibri" w:hAnsi="Calibri"/>
          <w:color w:val="262626" w:themeColor="text1" w:themeTint="D9"/>
        </w:rPr>
        <w:t xml:space="preserve"> </w:t>
      </w:r>
      <w:r w:rsidR="00C517DB" w:rsidRPr="00F73C3A">
        <w:rPr>
          <w:rFonts w:ascii="Calibri" w:hAnsi="Calibri" w:cs="EUAlbertina-Bold"/>
          <w:bCs/>
          <w:color w:val="262626" w:themeColor="text1" w:themeTint="D9"/>
          <w:sz w:val="19"/>
          <w:szCs w:val="19"/>
        </w:rPr>
        <w:t xml:space="preserve">651/2014. For the purposes of </w:t>
      </w:r>
      <w:r w:rsidR="00612905" w:rsidRPr="00F73C3A">
        <w:rPr>
          <w:rFonts w:ascii="Calibri" w:hAnsi="Calibri" w:cs="EUAlbertina-Bold"/>
          <w:bCs/>
          <w:color w:val="262626" w:themeColor="text1" w:themeTint="D9"/>
          <w:sz w:val="19"/>
          <w:szCs w:val="19"/>
        </w:rPr>
        <w:t>Cumbria Growth Fund</w:t>
      </w:r>
      <w:r w:rsidR="00B65258" w:rsidRPr="00F73C3A">
        <w:rPr>
          <w:rFonts w:ascii="Calibri" w:hAnsi="Calibri" w:cs="EUAlbertina-Bold"/>
          <w:bCs/>
          <w:color w:val="262626" w:themeColor="text1" w:themeTint="D9"/>
          <w:sz w:val="19"/>
          <w:szCs w:val="19"/>
        </w:rPr>
        <w:t xml:space="preserve"> support, the area concerned is </w:t>
      </w:r>
      <w:r w:rsidR="004D5914" w:rsidRPr="00F73C3A">
        <w:rPr>
          <w:rFonts w:ascii="Calibri" w:hAnsi="Calibri" w:cs="EUAlbertina-Bold"/>
          <w:bCs/>
          <w:color w:val="262626" w:themeColor="text1" w:themeTint="D9"/>
          <w:sz w:val="19"/>
          <w:szCs w:val="19"/>
        </w:rPr>
        <w:t>C</w:t>
      </w:r>
      <w:r w:rsidR="00612905" w:rsidRPr="00F73C3A">
        <w:rPr>
          <w:rFonts w:ascii="Calibri" w:hAnsi="Calibri" w:cs="EUAlbertina-Bold"/>
          <w:bCs/>
          <w:color w:val="262626" w:themeColor="text1" w:themeTint="D9"/>
          <w:sz w:val="19"/>
          <w:szCs w:val="19"/>
        </w:rPr>
        <w:t>umbria</w:t>
      </w:r>
      <w:r w:rsidR="00B65258" w:rsidRPr="00F73C3A">
        <w:rPr>
          <w:rFonts w:ascii="Calibri" w:hAnsi="Calibri" w:cs="EUAlbertina-Bold"/>
          <w:bCs/>
          <w:color w:val="262626" w:themeColor="text1" w:themeTint="D9"/>
          <w:sz w:val="19"/>
          <w:szCs w:val="19"/>
        </w:rPr>
        <w:t>.</w:t>
      </w:r>
    </w:p>
    <w:p w:rsidR="008B3673" w:rsidRPr="00F73C3A" w:rsidRDefault="00C404DD" w:rsidP="00267150">
      <w:pPr>
        <w:rPr>
          <w:rFonts w:ascii="Calibri" w:hAnsi="Calibri" w:cs="Arial"/>
          <w:color w:val="262626" w:themeColor="text1" w:themeTint="D9"/>
        </w:rPr>
      </w:pPr>
      <w:r w:rsidRPr="00F73C3A">
        <w:rPr>
          <w:rFonts w:ascii="Calibri" w:hAnsi="Calibri" w:cs="Arial"/>
          <w:color w:val="262626" w:themeColor="text1" w:themeTint="D9"/>
        </w:rPr>
        <w:t xml:space="preserve">R&amp;D and training support can be provided to all sizes of </w:t>
      </w:r>
      <w:r w:rsidR="00EA3826" w:rsidRPr="00F73C3A">
        <w:rPr>
          <w:rFonts w:ascii="Calibri" w:hAnsi="Calibri" w:cs="Arial"/>
          <w:color w:val="262626" w:themeColor="text1" w:themeTint="D9"/>
        </w:rPr>
        <w:t xml:space="preserve">business </w:t>
      </w:r>
      <w:r w:rsidRPr="00F73C3A">
        <w:rPr>
          <w:rFonts w:ascii="Calibri" w:hAnsi="Calibri" w:cs="Arial"/>
          <w:color w:val="262626" w:themeColor="text1" w:themeTint="D9"/>
        </w:rPr>
        <w:t>whether in an Assisted or n</w:t>
      </w:r>
      <w:r w:rsidR="007F6686" w:rsidRPr="00F73C3A">
        <w:rPr>
          <w:rFonts w:ascii="Calibri" w:hAnsi="Calibri" w:cs="Arial"/>
          <w:color w:val="262626" w:themeColor="text1" w:themeTint="D9"/>
        </w:rPr>
        <w:t>on-Assisted Area providing that</w:t>
      </w:r>
      <w:r w:rsidRPr="00F73C3A">
        <w:rPr>
          <w:rFonts w:ascii="Calibri" w:hAnsi="Calibri" w:cs="Arial"/>
          <w:color w:val="262626" w:themeColor="text1" w:themeTint="D9"/>
        </w:rPr>
        <w:t xml:space="preserve"> the support complies with the provisions set out in the Commission General Block Exemption Regulation </w:t>
      </w:r>
      <w:r w:rsidR="00C517DB" w:rsidRPr="00F73C3A">
        <w:rPr>
          <w:rFonts w:ascii="Calibri" w:hAnsi="Calibri" w:cs="EUAlbertina-Bold"/>
          <w:bCs/>
          <w:color w:val="262626" w:themeColor="text1" w:themeTint="D9"/>
          <w:sz w:val="19"/>
          <w:szCs w:val="19"/>
        </w:rPr>
        <w:t>651/2014</w:t>
      </w:r>
      <w:r w:rsidR="00B65258" w:rsidRPr="00F73C3A">
        <w:rPr>
          <w:rFonts w:ascii="Calibri" w:hAnsi="Calibri" w:cs="Arial"/>
          <w:color w:val="262626" w:themeColor="text1" w:themeTint="D9"/>
        </w:rPr>
        <w:t>.</w:t>
      </w:r>
    </w:p>
    <w:p w:rsidR="00EA3826" w:rsidRPr="00F73C3A" w:rsidRDefault="00EA3826" w:rsidP="00EA3826">
      <w:pPr>
        <w:rPr>
          <w:rFonts w:ascii="Calibri" w:hAnsi="Calibri" w:cs="Arial"/>
          <w:color w:val="262626" w:themeColor="text1" w:themeTint="D9"/>
        </w:rPr>
      </w:pPr>
      <w:r w:rsidRPr="00F73C3A">
        <w:rPr>
          <w:rFonts w:ascii="Calibri" w:hAnsi="Calibri" w:cs="Arial"/>
          <w:color w:val="262626" w:themeColor="text1" w:themeTint="D9"/>
        </w:rPr>
        <w:t xml:space="preserve">Outside of the Assisted Areas investment support may be given to SMEs providing that the support complies with the provisions set out in the Commission General Block Exemption Regulation </w:t>
      </w:r>
      <w:r w:rsidRPr="00F73C3A">
        <w:rPr>
          <w:rFonts w:ascii="Calibri" w:hAnsi="Calibri" w:cs="EUAlbertina-Bold"/>
          <w:bCs/>
          <w:color w:val="262626" w:themeColor="text1" w:themeTint="D9"/>
          <w:sz w:val="19"/>
          <w:szCs w:val="19"/>
        </w:rPr>
        <w:t>651/2014</w:t>
      </w:r>
      <w:r w:rsidRPr="00F73C3A">
        <w:rPr>
          <w:rFonts w:ascii="Calibri" w:hAnsi="Calibri" w:cs="Arial"/>
          <w:color w:val="262626" w:themeColor="text1" w:themeTint="D9"/>
        </w:rPr>
        <w:t xml:space="preserve">. </w:t>
      </w:r>
    </w:p>
    <w:p w:rsidR="000011CF" w:rsidRPr="00F73C3A" w:rsidRDefault="000011CF" w:rsidP="0002758E">
      <w:pPr>
        <w:pStyle w:val="Heading2"/>
        <w:rPr>
          <w:rFonts w:ascii="Calibri" w:hAnsi="Calibri"/>
          <w:color w:val="262626" w:themeColor="text1" w:themeTint="D9"/>
        </w:rPr>
      </w:pPr>
      <w:bookmarkStart w:id="10" w:name="_Toc349308462"/>
      <w:r w:rsidRPr="00F73C3A">
        <w:rPr>
          <w:rFonts w:ascii="Calibri" w:hAnsi="Calibri"/>
          <w:color w:val="262626" w:themeColor="text1" w:themeTint="D9"/>
        </w:rPr>
        <w:t>Eligible activity</w:t>
      </w:r>
      <w:bookmarkStart w:id="11" w:name="539"/>
      <w:bookmarkEnd w:id="10"/>
      <w:bookmarkEnd w:id="11"/>
    </w:p>
    <w:p w:rsidR="000011CF" w:rsidRPr="00F73C3A" w:rsidRDefault="00612905" w:rsidP="00267150">
      <w:pPr>
        <w:rPr>
          <w:rFonts w:ascii="Calibri" w:hAnsi="Calibri"/>
          <w:color w:val="262626" w:themeColor="text1" w:themeTint="D9"/>
          <w:szCs w:val="20"/>
          <w:lang w:val="en-US"/>
        </w:rPr>
      </w:pPr>
      <w:r w:rsidRPr="00F73C3A">
        <w:rPr>
          <w:rFonts w:ascii="Calibri" w:hAnsi="Calibri"/>
          <w:color w:val="262626" w:themeColor="text1" w:themeTint="D9"/>
        </w:rPr>
        <w:t>Cumbria Growth Fund</w:t>
      </w:r>
      <w:r w:rsidR="000011CF" w:rsidRPr="00F73C3A">
        <w:rPr>
          <w:rFonts w:ascii="Calibri" w:hAnsi="Calibri"/>
          <w:color w:val="262626" w:themeColor="text1" w:themeTint="D9"/>
        </w:rPr>
        <w:t xml:space="preserve"> aid </w:t>
      </w:r>
      <w:r w:rsidR="0048098F" w:rsidRPr="00F73C3A">
        <w:rPr>
          <w:rFonts w:ascii="Calibri" w:hAnsi="Calibri"/>
          <w:color w:val="262626" w:themeColor="text1" w:themeTint="D9"/>
        </w:rPr>
        <w:t xml:space="preserve">is aimed primarily at </w:t>
      </w:r>
      <w:r w:rsidR="000011CF" w:rsidRPr="00F73C3A">
        <w:rPr>
          <w:rFonts w:ascii="Calibri" w:hAnsi="Calibri"/>
          <w:color w:val="262626" w:themeColor="text1" w:themeTint="D9"/>
        </w:rPr>
        <w:t xml:space="preserve">businesses in most </w:t>
      </w:r>
      <w:r w:rsidR="007F6686" w:rsidRPr="00F73C3A">
        <w:rPr>
          <w:rFonts w:ascii="Calibri" w:hAnsi="Calibri"/>
          <w:color w:val="262626" w:themeColor="text1" w:themeTint="D9"/>
        </w:rPr>
        <w:t xml:space="preserve">manufacturing </w:t>
      </w:r>
      <w:r w:rsidR="000011CF" w:rsidRPr="00F73C3A">
        <w:rPr>
          <w:rFonts w:ascii="Calibri" w:hAnsi="Calibri"/>
          <w:color w:val="262626" w:themeColor="text1" w:themeTint="D9"/>
        </w:rPr>
        <w:t xml:space="preserve">sectors </w:t>
      </w:r>
      <w:r w:rsidR="0048098F" w:rsidRPr="00F73C3A">
        <w:rPr>
          <w:rFonts w:ascii="Calibri" w:hAnsi="Calibri"/>
          <w:color w:val="262626" w:themeColor="text1" w:themeTint="D9"/>
        </w:rPr>
        <w:t xml:space="preserve">and at business to business service providers. </w:t>
      </w:r>
      <w:r w:rsidR="000011CF" w:rsidRPr="00F73C3A">
        <w:rPr>
          <w:rFonts w:ascii="Calibri" w:hAnsi="Calibri"/>
          <w:color w:val="262626" w:themeColor="text1" w:themeTint="D9"/>
          <w:szCs w:val="20"/>
          <w:lang w:val="en-US"/>
        </w:rPr>
        <w:t xml:space="preserve">All projects should contribute positive benefits to both the regional and national economy. The impact of the proposed investment on </w:t>
      </w:r>
      <w:r w:rsidR="0048098F" w:rsidRPr="00F73C3A">
        <w:rPr>
          <w:rFonts w:ascii="Calibri" w:hAnsi="Calibri"/>
          <w:color w:val="262626" w:themeColor="text1" w:themeTint="D9"/>
          <w:szCs w:val="20"/>
          <w:lang w:val="en-US"/>
        </w:rPr>
        <w:t>other</w:t>
      </w:r>
      <w:r w:rsidR="007F6686" w:rsidRPr="00F73C3A">
        <w:rPr>
          <w:rFonts w:ascii="Calibri" w:hAnsi="Calibri"/>
          <w:color w:val="262626" w:themeColor="text1" w:themeTint="D9"/>
          <w:szCs w:val="20"/>
          <w:lang w:val="en-US"/>
        </w:rPr>
        <w:t xml:space="preserve"> UK</w:t>
      </w:r>
      <w:r w:rsidR="000011CF" w:rsidRPr="00F73C3A">
        <w:rPr>
          <w:rFonts w:ascii="Calibri" w:hAnsi="Calibri"/>
          <w:color w:val="262626" w:themeColor="text1" w:themeTint="D9"/>
          <w:szCs w:val="20"/>
          <w:lang w:val="en-US"/>
        </w:rPr>
        <w:t xml:space="preserve"> businesses must be considered during the assessment of any application for </w:t>
      </w:r>
      <w:r w:rsidRPr="00F73C3A">
        <w:rPr>
          <w:rFonts w:ascii="Calibri" w:hAnsi="Calibri"/>
          <w:color w:val="262626" w:themeColor="text1" w:themeTint="D9"/>
          <w:szCs w:val="20"/>
          <w:lang w:val="en-US"/>
        </w:rPr>
        <w:t>Cumbria Growth Fund</w:t>
      </w:r>
      <w:r w:rsidR="000011CF" w:rsidRPr="00F73C3A">
        <w:rPr>
          <w:rFonts w:ascii="Calibri" w:hAnsi="Calibri"/>
          <w:color w:val="262626" w:themeColor="text1" w:themeTint="D9"/>
          <w:szCs w:val="20"/>
          <w:lang w:val="en-US"/>
        </w:rPr>
        <w:t xml:space="preserve"> support.</w:t>
      </w:r>
    </w:p>
    <w:p w:rsidR="000364C4" w:rsidRPr="00F73C3A" w:rsidRDefault="007F6686" w:rsidP="00267150">
      <w:pPr>
        <w:rPr>
          <w:rFonts w:ascii="Calibri" w:hAnsi="Calibri"/>
          <w:color w:val="262626" w:themeColor="text1" w:themeTint="D9"/>
          <w:szCs w:val="20"/>
          <w:lang w:val="en-US"/>
        </w:rPr>
      </w:pPr>
      <w:r w:rsidRPr="00F73C3A">
        <w:rPr>
          <w:rFonts w:ascii="Calibri" w:hAnsi="Calibri"/>
          <w:color w:val="262626" w:themeColor="text1" w:themeTint="D9"/>
          <w:szCs w:val="20"/>
          <w:lang w:val="en-US"/>
        </w:rPr>
        <w:t>Assistance will</w:t>
      </w:r>
      <w:r w:rsidR="000011CF" w:rsidRPr="00F73C3A">
        <w:rPr>
          <w:rFonts w:ascii="Calibri" w:hAnsi="Calibri"/>
          <w:color w:val="262626" w:themeColor="text1" w:themeTint="D9"/>
          <w:szCs w:val="20"/>
          <w:lang w:val="en-US"/>
        </w:rPr>
        <w:t xml:space="preserve"> be concentrated on projects which will strengthen the</w:t>
      </w:r>
      <w:r w:rsidRPr="00F73C3A">
        <w:rPr>
          <w:rFonts w:ascii="Calibri" w:hAnsi="Calibri"/>
          <w:color w:val="262626" w:themeColor="text1" w:themeTint="D9"/>
          <w:szCs w:val="20"/>
          <w:lang w:val="en-US"/>
        </w:rPr>
        <w:t xml:space="preserve"> </w:t>
      </w:r>
      <w:r w:rsidR="000011CF" w:rsidRPr="00F73C3A">
        <w:rPr>
          <w:rFonts w:ascii="Calibri" w:hAnsi="Calibri"/>
          <w:color w:val="262626" w:themeColor="text1" w:themeTint="D9"/>
          <w:szCs w:val="20"/>
          <w:lang w:val="en-US"/>
        </w:rPr>
        <w:t>national and regional economy. The factors taken into consideration</w:t>
      </w:r>
      <w:r w:rsidRPr="00F73C3A">
        <w:rPr>
          <w:rFonts w:ascii="Calibri" w:hAnsi="Calibri"/>
          <w:color w:val="262626" w:themeColor="text1" w:themeTint="D9"/>
          <w:szCs w:val="20"/>
          <w:lang w:val="en-US"/>
        </w:rPr>
        <w:t xml:space="preserve"> </w:t>
      </w:r>
      <w:r w:rsidR="000011CF" w:rsidRPr="00F73C3A">
        <w:rPr>
          <w:rFonts w:ascii="Calibri" w:hAnsi="Calibri"/>
          <w:color w:val="262626" w:themeColor="text1" w:themeTint="D9"/>
          <w:szCs w:val="20"/>
          <w:lang w:val="en-US"/>
        </w:rPr>
        <w:t xml:space="preserve">include the income generated directly by a project, </w:t>
      </w:r>
      <w:r w:rsidR="0048098F" w:rsidRPr="00F73C3A">
        <w:rPr>
          <w:rFonts w:ascii="Calibri" w:hAnsi="Calibri"/>
          <w:color w:val="262626" w:themeColor="text1" w:themeTint="D9"/>
          <w:szCs w:val="20"/>
          <w:lang w:val="en-US"/>
        </w:rPr>
        <w:t xml:space="preserve">export and/or re-shoring activity, </w:t>
      </w:r>
      <w:r w:rsidR="00B96E7A" w:rsidRPr="00F73C3A">
        <w:rPr>
          <w:rFonts w:ascii="Calibri" w:hAnsi="Calibri"/>
          <w:color w:val="262626" w:themeColor="text1" w:themeTint="D9"/>
          <w:szCs w:val="20"/>
          <w:lang w:val="en-US"/>
        </w:rPr>
        <w:t>the</w:t>
      </w:r>
      <w:r w:rsidR="000011CF" w:rsidRPr="00F73C3A">
        <w:rPr>
          <w:rFonts w:ascii="Calibri" w:hAnsi="Calibri"/>
          <w:color w:val="262626" w:themeColor="text1" w:themeTint="D9"/>
          <w:szCs w:val="20"/>
          <w:lang w:val="en-US"/>
        </w:rPr>
        <w:t xml:space="preserve"> displacement</w:t>
      </w:r>
      <w:r w:rsidRPr="00F73C3A">
        <w:rPr>
          <w:rFonts w:ascii="Calibri" w:hAnsi="Calibri"/>
          <w:color w:val="262626" w:themeColor="text1" w:themeTint="D9"/>
          <w:szCs w:val="20"/>
          <w:lang w:val="en-US"/>
        </w:rPr>
        <w:t xml:space="preserve"> </w:t>
      </w:r>
      <w:r w:rsidR="000011CF" w:rsidRPr="00F73C3A">
        <w:rPr>
          <w:rFonts w:ascii="Calibri" w:hAnsi="Calibri"/>
          <w:color w:val="262626" w:themeColor="text1" w:themeTint="D9"/>
          <w:szCs w:val="20"/>
          <w:lang w:val="en-US"/>
        </w:rPr>
        <w:t xml:space="preserve">effects on </w:t>
      </w:r>
      <w:r w:rsidR="00B96E7A" w:rsidRPr="00F73C3A">
        <w:rPr>
          <w:rFonts w:ascii="Calibri" w:hAnsi="Calibri"/>
          <w:color w:val="262626" w:themeColor="text1" w:themeTint="D9"/>
          <w:szCs w:val="20"/>
          <w:lang w:val="en-US"/>
        </w:rPr>
        <w:t>other businesses a</w:t>
      </w:r>
      <w:r w:rsidR="000011CF" w:rsidRPr="00F73C3A">
        <w:rPr>
          <w:rFonts w:ascii="Calibri" w:hAnsi="Calibri"/>
          <w:color w:val="262626" w:themeColor="text1" w:themeTint="D9"/>
          <w:szCs w:val="20"/>
          <w:lang w:val="en-US"/>
        </w:rPr>
        <w:t>nd the wider</w:t>
      </w:r>
      <w:r w:rsidRPr="00F73C3A">
        <w:rPr>
          <w:rFonts w:ascii="Calibri" w:hAnsi="Calibri"/>
          <w:color w:val="262626" w:themeColor="text1" w:themeTint="D9"/>
          <w:szCs w:val="20"/>
          <w:lang w:val="en-US"/>
        </w:rPr>
        <w:t xml:space="preserve"> </w:t>
      </w:r>
      <w:r w:rsidR="000011CF" w:rsidRPr="00F73C3A">
        <w:rPr>
          <w:rFonts w:ascii="Calibri" w:hAnsi="Calibri"/>
          <w:color w:val="262626" w:themeColor="text1" w:themeTint="D9"/>
          <w:szCs w:val="20"/>
          <w:lang w:val="en-US"/>
        </w:rPr>
        <w:t>benefits to the competitiveness of the economy at large.</w:t>
      </w:r>
      <w:r w:rsidR="006714D9" w:rsidRPr="00F73C3A">
        <w:rPr>
          <w:rFonts w:ascii="Calibri" w:hAnsi="Calibri"/>
          <w:color w:val="262626" w:themeColor="text1" w:themeTint="D9"/>
          <w:szCs w:val="20"/>
          <w:lang w:val="en-US"/>
        </w:rPr>
        <w:t xml:space="preserve"> </w:t>
      </w:r>
    </w:p>
    <w:p w:rsidR="00BA1B8C" w:rsidRPr="00F73C3A" w:rsidRDefault="00BA1B8C" w:rsidP="00267150">
      <w:pPr>
        <w:rPr>
          <w:rFonts w:ascii="Calibri" w:hAnsi="Calibri"/>
          <w:color w:val="262626" w:themeColor="text1" w:themeTint="D9"/>
          <w:szCs w:val="20"/>
          <w:lang w:val="en-US"/>
        </w:rPr>
      </w:pPr>
      <w:r w:rsidRPr="00F73C3A">
        <w:rPr>
          <w:rFonts w:ascii="Calibri" w:hAnsi="Calibri" w:cs="Arial"/>
          <w:color w:val="262626" w:themeColor="text1" w:themeTint="D9"/>
          <w:szCs w:val="20"/>
          <w:lang w:val="en-US"/>
        </w:rPr>
        <w:t xml:space="preserve">Relocation projects </w:t>
      </w:r>
      <w:r w:rsidR="00B96E7A" w:rsidRPr="00F73C3A">
        <w:rPr>
          <w:rFonts w:ascii="Calibri" w:hAnsi="Calibri" w:cs="Arial"/>
          <w:color w:val="262626" w:themeColor="text1" w:themeTint="D9"/>
          <w:szCs w:val="20"/>
          <w:lang w:val="en-US"/>
        </w:rPr>
        <w:t>qualify for Cumbria Growth Fund support where</w:t>
      </w:r>
      <w:r w:rsidRPr="00F73C3A">
        <w:rPr>
          <w:rFonts w:ascii="Calibri" w:hAnsi="Calibri" w:cs="Arial"/>
          <w:color w:val="262626" w:themeColor="text1" w:themeTint="D9"/>
          <w:szCs w:val="20"/>
          <w:lang w:val="en-US"/>
        </w:rPr>
        <w:t xml:space="preserve"> the relocation involves a significant expansion and creation of jobs</w:t>
      </w:r>
      <w:r w:rsidR="002A5BF7" w:rsidRPr="00F73C3A">
        <w:rPr>
          <w:rFonts w:ascii="Calibri" w:hAnsi="Calibri" w:cs="Arial"/>
          <w:color w:val="262626" w:themeColor="text1" w:themeTint="D9"/>
          <w:szCs w:val="20"/>
          <w:lang w:val="en-US"/>
        </w:rPr>
        <w:t xml:space="preserve"> new to the UK</w:t>
      </w:r>
      <w:r w:rsidR="00B96E7A" w:rsidRPr="00F73C3A">
        <w:rPr>
          <w:rFonts w:ascii="Calibri" w:hAnsi="Calibri" w:cs="Arial"/>
          <w:color w:val="262626" w:themeColor="text1" w:themeTint="D9"/>
          <w:szCs w:val="20"/>
          <w:lang w:val="en-US"/>
        </w:rPr>
        <w:t>.</w:t>
      </w:r>
    </w:p>
    <w:p w:rsidR="000011CF" w:rsidRPr="00F73C3A" w:rsidRDefault="006714D9" w:rsidP="00267150">
      <w:pPr>
        <w:rPr>
          <w:rFonts w:ascii="Calibri" w:hAnsi="Calibri"/>
          <w:color w:val="262626" w:themeColor="text1" w:themeTint="D9"/>
          <w:szCs w:val="20"/>
          <w:lang w:val="en-US"/>
        </w:rPr>
      </w:pPr>
      <w:r w:rsidRPr="00F73C3A">
        <w:rPr>
          <w:rFonts w:ascii="Calibri" w:hAnsi="Calibri"/>
          <w:color w:val="262626" w:themeColor="text1" w:themeTint="D9"/>
          <w:szCs w:val="20"/>
          <w:lang w:val="en-US"/>
        </w:rPr>
        <w:t xml:space="preserve">Projects which </w:t>
      </w:r>
      <w:r w:rsidR="00B96E7A" w:rsidRPr="00F73C3A">
        <w:rPr>
          <w:rFonts w:ascii="Calibri" w:hAnsi="Calibri"/>
          <w:color w:val="262626" w:themeColor="text1" w:themeTint="D9"/>
          <w:szCs w:val="20"/>
          <w:lang w:val="en-US"/>
        </w:rPr>
        <w:t xml:space="preserve">are likely </w:t>
      </w:r>
      <w:r w:rsidRPr="00F73C3A">
        <w:rPr>
          <w:rFonts w:ascii="Calibri" w:hAnsi="Calibri"/>
          <w:color w:val="262626" w:themeColor="text1" w:themeTint="D9"/>
          <w:szCs w:val="20"/>
          <w:lang w:val="en-US"/>
        </w:rPr>
        <w:t xml:space="preserve">to </w:t>
      </w:r>
      <w:r w:rsidR="000364C4" w:rsidRPr="00F73C3A">
        <w:rPr>
          <w:rFonts w:ascii="Calibri" w:hAnsi="Calibri"/>
          <w:color w:val="262626" w:themeColor="text1" w:themeTint="D9"/>
          <w:szCs w:val="20"/>
          <w:lang w:val="en-US"/>
        </w:rPr>
        <w:t xml:space="preserve">have a major </w:t>
      </w:r>
      <w:r w:rsidR="002A5BF7" w:rsidRPr="00F73C3A">
        <w:rPr>
          <w:rFonts w:ascii="Calibri" w:hAnsi="Calibri"/>
          <w:color w:val="262626" w:themeColor="text1" w:themeTint="D9"/>
          <w:szCs w:val="20"/>
          <w:lang w:val="en-US"/>
        </w:rPr>
        <w:t xml:space="preserve">negative </w:t>
      </w:r>
      <w:r w:rsidR="000364C4" w:rsidRPr="00F73C3A">
        <w:rPr>
          <w:rFonts w:ascii="Calibri" w:hAnsi="Calibri"/>
          <w:color w:val="262626" w:themeColor="text1" w:themeTint="D9"/>
          <w:szCs w:val="20"/>
          <w:lang w:val="en-US"/>
        </w:rPr>
        <w:t>impact on</w:t>
      </w:r>
      <w:r w:rsidR="002A5BF7" w:rsidRPr="00F73C3A">
        <w:rPr>
          <w:rFonts w:ascii="Calibri" w:hAnsi="Calibri"/>
          <w:color w:val="262626" w:themeColor="text1" w:themeTint="D9"/>
          <w:szCs w:val="20"/>
          <w:lang w:val="en-US"/>
        </w:rPr>
        <w:t xml:space="preserve"> jobs in other businesses</w:t>
      </w:r>
      <w:r w:rsidRPr="00F73C3A">
        <w:rPr>
          <w:rFonts w:ascii="Calibri" w:hAnsi="Calibri"/>
          <w:color w:val="262626" w:themeColor="text1" w:themeTint="D9"/>
          <w:szCs w:val="20"/>
          <w:lang w:val="en-US"/>
        </w:rPr>
        <w:t xml:space="preserve"> within the UK </w:t>
      </w:r>
      <w:r w:rsidR="000364C4" w:rsidRPr="00F73C3A">
        <w:rPr>
          <w:rFonts w:ascii="Calibri" w:hAnsi="Calibri"/>
          <w:color w:val="262626" w:themeColor="text1" w:themeTint="D9"/>
          <w:szCs w:val="20"/>
          <w:lang w:val="en-US"/>
        </w:rPr>
        <w:t>will not be eligible. For example if the applicant operates in a s</w:t>
      </w:r>
      <w:r w:rsidR="00B96E7A" w:rsidRPr="00F73C3A">
        <w:rPr>
          <w:rFonts w:ascii="Calibri" w:hAnsi="Calibri"/>
          <w:color w:val="262626" w:themeColor="text1" w:themeTint="D9"/>
          <w:szCs w:val="20"/>
          <w:lang w:val="en-US"/>
        </w:rPr>
        <w:t xml:space="preserve">ector where it supplies only </w:t>
      </w:r>
      <w:r w:rsidR="000364C4" w:rsidRPr="00F73C3A">
        <w:rPr>
          <w:rFonts w:ascii="Calibri" w:hAnsi="Calibri"/>
          <w:color w:val="262626" w:themeColor="text1" w:themeTint="D9"/>
          <w:szCs w:val="20"/>
          <w:lang w:val="en-US"/>
        </w:rPr>
        <w:t xml:space="preserve">UK customers and this market </w:t>
      </w:r>
      <w:r w:rsidR="004F5EB9" w:rsidRPr="00F73C3A">
        <w:rPr>
          <w:rFonts w:ascii="Calibri" w:hAnsi="Calibri"/>
          <w:color w:val="262626" w:themeColor="text1" w:themeTint="D9"/>
          <w:szCs w:val="20"/>
          <w:lang w:val="en-US"/>
        </w:rPr>
        <w:t>is already fully supplied by UK</w:t>
      </w:r>
      <w:r w:rsidR="000364C4" w:rsidRPr="00F73C3A">
        <w:rPr>
          <w:rFonts w:ascii="Calibri" w:hAnsi="Calibri"/>
          <w:color w:val="262626" w:themeColor="text1" w:themeTint="D9"/>
          <w:szCs w:val="20"/>
          <w:lang w:val="en-US"/>
        </w:rPr>
        <w:t>–based businesses, then any new project jobs are likely to result in the loss of jobs within competitor businesses.</w:t>
      </w:r>
    </w:p>
    <w:p w:rsidR="000011CF" w:rsidRPr="00F73C3A" w:rsidRDefault="000011CF" w:rsidP="00267150">
      <w:pPr>
        <w:rPr>
          <w:rFonts w:ascii="Calibri" w:hAnsi="Calibri" w:cs="Arial"/>
          <w:color w:val="262626" w:themeColor="text1" w:themeTint="D9"/>
        </w:rPr>
      </w:pPr>
      <w:r w:rsidRPr="00F73C3A">
        <w:rPr>
          <w:rFonts w:ascii="Calibri" w:hAnsi="Calibri" w:cs="Arial"/>
          <w:color w:val="262626" w:themeColor="text1" w:themeTint="D9"/>
        </w:rPr>
        <w:t xml:space="preserve">State Aid rules mean that </w:t>
      </w:r>
      <w:r w:rsidR="00612905" w:rsidRPr="00F73C3A">
        <w:rPr>
          <w:rFonts w:ascii="Calibri" w:hAnsi="Calibri" w:cs="Arial"/>
          <w:color w:val="262626" w:themeColor="text1" w:themeTint="D9"/>
        </w:rPr>
        <w:t>Cumbria Growth Fund</w:t>
      </w:r>
      <w:r w:rsidRPr="00F73C3A">
        <w:rPr>
          <w:rFonts w:ascii="Calibri" w:hAnsi="Calibri" w:cs="Arial"/>
          <w:color w:val="262626" w:themeColor="text1" w:themeTint="D9"/>
        </w:rPr>
        <w:t xml:space="preserve"> cannot be used to provide aid that favours undertakings active in: </w:t>
      </w:r>
    </w:p>
    <w:p w:rsidR="00CF5107" w:rsidRPr="00F73C3A" w:rsidRDefault="00CF5107" w:rsidP="00F61707">
      <w:pPr>
        <w:pStyle w:val="ListParagraph"/>
        <w:numPr>
          <w:ilvl w:val="0"/>
          <w:numId w:val="37"/>
        </w:numPr>
        <w:rPr>
          <w:rFonts w:ascii="Calibri" w:hAnsi="Calibri"/>
          <w:color w:val="262626" w:themeColor="text1" w:themeTint="D9"/>
        </w:rPr>
      </w:pPr>
      <w:r w:rsidRPr="00F73C3A">
        <w:rPr>
          <w:rFonts w:ascii="Calibri" w:hAnsi="Calibri"/>
          <w:color w:val="262626" w:themeColor="text1" w:themeTint="D9"/>
        </w:rPr>
        <w:t xml:space="preserve">the fisheries and aquaculture sectors, as covered by Council Regulation (EC) No 104/2000 of 17 December 1999 on the common  organisation of the markets in fishery and aquaculture products and European </w:t>
      </w:r>
      <w:r w:rsidR="00B96E7A" w:rsidRPr="00F73C3A">
        <w:rPr>
          <w:rFonts w:ascii="Calibri" w:hAnsi="Calibri"/>
          <w:color w:val="262626" w:themeColor="text1" w:themeTint="D9"/>
        </w:rPr>
        <w:t>Commission Guidelines on State A</w:t>
      </w:r>
      <w:r w:rsidRPr="00F73C3A">
        <w:rPr>
          <w:rFonts w:ascii="Calibri" w:hAnsi="Calibri"/>
          <w:color w:val="262626" w:themeColor="text1" w:themeTint="D9"/>
        </w:rPr>
        <w:t xml:space="preserve">id to Fisheries and Aquaculture (2008/C 84/06) </w:t>
      </w:r>
      <w:r w:rsidR="00B96E7A" w:rsidRPr="00F73C3A">
        <w:rPr>
          <w:rFonts w:ascii="Calibri" w:hAnsi="Calibri"/>
          <w:color w:val="262626" w:themeColor="text1" w:themeTint="D9"/>
        </w:rPr>
        <w:t>and any successor measure</w:t>
      </w:r>
    </w:p>
    <w:p w:rsidR="000011CF" w:rsidRPr="00F73C3A" w:rsidRDefault="000011CF" w:rsidP="00F61707">
      <w:pPr>
        <w:pStyle w:val="ListParagraph"/>
        <w:numPr>
          <w:ilvl w:val="0"/>
          <w:numId w:val="37"/>
        </w:numPr>
        <w:rPr>
          <w:rFonts w:ascii="Calibri" w:hAnsi="Calibri"/>
          <w:color w:val="262626" w:themeColor="text1" w:themeTint="D9"/>
        </w:rPr>
      </w:pPr>
      <w:r w:rsidRPr="00F73C3A">
        <w:rPr>
          <w:rFonts w:ascii="Calibri" w:hAnsi="Calibri"/>
          <w:color w:val="262626" w:themeColor="text1" w:themeTint="D9"/>
        </w:rPr>
        <w:t>the primary production of agricultural pr</w:t>
      </w:r>
      <w:r w:rsidR="00B96E7A" w:rsidRPr="00F73C3A">
        <w:rPr>
          <w:rFonts w:ascii="Calibri" w:hAnsi="Calibri"/>
          <w:color w:val="262626" w:themeColor="text1" w:themeTint="D9"/>
        </w:rPr>
        <w:t>oducts (as defined in Annex A)</w:t>
      </w:r>
    </w:p>
    <w:p w:rsidR="000011CF" w:rsidRPr="00F73C3A" w:rsidRDefault="000011CF" w:rsidP="00F61707">
      <w:pPr>
        <w:pStyle w:val="ListParagraph"/>
        <w:numPr>
          <w:ilvl w:val="0"/>
          <w:numId w:val="37"/>
        </w:numPr>
        <w:rPr>
          <w:rFonts w:ascii="Calibri" w:hAnsi="Calibri"/>
          <w:color w:val="262626" w:themeColor="text1" w:themeTint="D9"/>
        </w:rPr>
      </w:pPr>
      <w:r w:rsidRPr="00F73C3A">
        <w:rPr>
          <w:rFonts w:ascii="Calibri" w:hAnsi="Calibri"/>
          <w:color w:val="262626" w:themeColor="text1" w:themeTint="D9"/>
        </w:rPr>
        <w:t xml:space="preserve">the processing and marketing of agricultural products (as defined in </w:t>
      </w:r>
      <w:r w:rsidR="00B96E7A" w:rsidRPr="00F73C3A">
        <w:rPr>
          <w:rFonts w:ascii="Calibri" w:hAnsi="Calibri"/>
          <w:color w:val="262626" w:themeColor="text1" w:themeTint="D9"/>
        </w:rPr>
        <w:t>Annex A) when</w:t>
      </w:r>
      <w:r w:rsidRPr="00F73C3A">
        <w:rPr>
          <w:rFonts w:ascii="Calibri" w:hAnsi="Calibri"/>
          <w:color w:val="262626" w:themeColor="text1" w:themeTint="D9"/>
        </w:rPr>
        <w:t xml:space="preserve">: </w:t>
      </w:r>
    </w:p>
    <w:p w:rsidR="000011CF" w:rsidRPr="00F73C3A" w:rsidRDefault="000011CF" w:rsidP="00F61707">
      <w:pPr>
        <w:pStyle w:val="ListParagraph"/>
        <w:numPr>
          <w:ilvl w:val="0"/>
          <w:numId w:val="38"/>
        </w:numPr>
        <w:rPr>
          <w:rFonts w:ascii="Calibri" w:hAnsi="Calibri"/>
          <w:color w:val="262626" w:themeColor="text1" w:themeTint="D9"/>
        </w:rPr>
      </w:pPr>
      <w:r w:rsidRPr="00F73C3A">
        <w:rPr>
          <w:rFonts w:ascii="Calibri" w:hAnsi="Calibri"/>
          <w:color w:val="262626" w:themeColor="text1" w:themeTint="D9"/>
        </w:rPr>
        <w:t xml:space="preserve">the amount of the aid is fixed on the basis of the price or quantity of such products purchased from primary producers or put on the market by the undertakings concerned, or </w:t>
      </w:r>
    </w:p>
    <w:p w:rsidR="00151913" w:rsidRPr="00F73C3A" w:rsidRDefault="00B96E7A" w:rsidP="00F61707">
      <w:pPr>
        <w:pStyle w:val="ListParagraph"/>
        <w:numPr>
          <w:ilvl w:val="0"/>
          <w:numId w:val="38"/>
        </w:numPr>
        <w:rPr>
          <w:rFonts w:ascii="Calibri" w:hAnsi="Calibri"/>
          <w:color w:val="262626" w:themeColor="text1" w:themeTint="D9"/>
        </w:rPr>
      </w:pPr>
      <w:r w:rsidRPr="00F73C3A">
        <w:rPr>
          <w:rFonts w:ascii="Calibri" w:hAnsi="Calibri"/>
          <w:color w:val="262626" w:themeColor="text1" w:themeTint="D9"/>
        </w:rPr>
        <w:t>t</w:t>
      </w:r>
      <w:r w:rsidR="000011CF" w:rsidRPr="00F73C3A">
        <w:rPr>
          <w:rFonts w:ascii="Calibri" w:hAnsi="Calibri"/>
          <w:color w:val="262626" w:themeColor="text1" w:themeTint="D9"/>
        </w:rPr>
        <w:t>he aid is conditional on being partly or entirely passed on to primary produ</w:t>
      </w:r>
      <w:r w:rsidR="002A5BF7" w:rsidRPr="00F73C3A">
        <w:rPr>
          <w:rFonts w:ascii="Calibri" w:hAnsi="Calibri"/>
          <w:color w:val="262626" w:themeColor="text1" w:themeTint="D9"/>
        </w:rPr>
        <w:t>cers</w:t>
      </w:r>
    </w:p>
    <w:p w:rsidR="00151913" w:rsidRPr="00F73C3A" w:rsidRDefault="00B65258" w:rsidP="00267150">
      <w:pPr>
        <w:rPr>
          <w:rFonts w:ascii="Calibri" w:hAnsi="Calibri"/>
          <w:color w:val="262626" w:themeColor="text1" w:themeTint="D9"/>
        </w:rPr>
      </w:pPr>
      <w:r w:rsidRPr="00F73C3A">
        <w:rPr>
          <w:rFonts w:ascii="Calibri" w:hAnsi="Calibri"/>
          <w:color w:val="262626" w:themeColor="text1" w:themeTint="D9"/>
        </w:rPr>
        <w:t xml:space="preserve">In addition, </w:t>
      </w:r>
      <w:r w:rsidR="00612905" w:rsidRPr="00F73C3A">
        <w:rPr>
          <w:rFonts w:ascii="Calibri" w:hAnsi="Calibri"/>
          <w:color w:val="262626" w:themeColor="text1" w:themeTint="D9"/>
        </w:rPr>
        <w:t>Cumbria Growth Fund</w:t>
      </w:r>
      <w:r w:rsidRPr="00F73C3A">
        <w:rPr>
          <w:rFonts w:ascii="Calibri" w:hAnsi="Calibri"/>
          <w:color w:val="262626" w:themeColor="text1" w:themeTint="D9"/>
        </w:rPr>
        <w:t xml:space="preserve"> cannot provide support under Regional Investment Aid to provide aid that favours undertakings active in:</w:t>
      </w:r>
    </w:p>
    <w:p w:rsidR="00151913" w:rsidRPr="00F73C3A" w:rsidRDefault="000011CF" w:rsidP="00F61707">
      <w:pPr>
        <w:pStyle w:val="ListParagraph"/>
        <w:numPr>
          <w:ilvl w:val="0"/>
          <w:numId w:val="39"/>
        </w:numPr>
        <w:rPr>
          <w:rFonts w:ascii="Calibri" w:hAnsi="Calibri"/>
          <w:color w:val="262626" w:themeColor="text1" w:themeTint="D9"/>
        </w:rPr>
      </w:pPr>
      <w:r w:rsidRPr="00F73C3A">
        <w:rPr>
          <w:rFonts w:ascii="Calibri" w:hAnsi="Calibri"/>
          <w:color w:val="262626" w:themeColor="text1" w:themeTint="D9"/>
        </w:rPr>
        <w:t>the co</w:t>
      </w:r>
      <w:r w:rsidR="002A5BF7" w:rsidRPr="00F73C3A">
        <w:rPr>
          <w:rFonts w:ascii="Calibri" w:hAnsi="Calibri"/>
          <w:color w:val="262626" w:themeColor="text1" w:themeTint="D9"/>
        </w:rPr>
        <w:t>al sector as defined in Annex A</w:t>
      </w:r>
      <w:r w:rsidRPr="00F73C3A">
        <w:rPr>
          <w:rFonts w:ascii="Calibri" w:hAnsi="Calibri"/>
          <w:color w:val="262626" w:themeColor="text1" w:themeTint="D9"/>
        </w:rPr>
        <w:t xml:space="preserve"> </w:t>
      </w:r>
    </w:p>
    <w:p w:rsidR="00151913" w:rsidRPr="00F73C3A" w:rsidRDefault="000011CF" w:rsidP="00F61707">
      <w:pPr>
        <w:pStyle w:val="ListParagraph"/>
        <w:numPr>
          <w:ilvl w:val="0"/>
          <w:numId w:val="39"/>
        </w:numPr>
        <w:rPr>
          <w:rFonts w:ascii="Calibri" w:hAnsi="Calibri"/>
          <w:color w:val="262626" w:themeColor="text1" w:themeTint="D9"/>
        </w:rPr>
      </w:pPr>
      <w:r w:rsidRPr="00F73C3A">
        <w:rPr>
          <w:rFonts w:ascii="Calibri" w:hAnsi="Calibri"/>
          <w:color w:val="262626" w:themeColor="text1" w:themeTint="D9"/>
        </w:rPr>
        <w:t>the ste</w:t>
      </w:r>
      <w:r w:rsidR="002A5BF7" w:rsidRPr="00F73C3A">
        <w:rPr>
          <w:rFonts w:ascii="Calibri" w:hAnsi="Calibri"/>
          <w:color w:val="262626" w:themeColor="text1" w:themeTint="D9"/>
        </w:rPr>
        <w:t>el sector as defined in Annex A</w:t>
      </w:r>
      <w:r w:rsidRPr="00F73C3A">
        <w:rPr>
          <w:rFonts w:ascii="Calibri" w:hAnsi="Calibri"/>
          <w:color w:val="262626" w:themeColor="text1" w:themeTint="D9"/>
        </w:rPr>
        <w:t xml:space="preserve"> </w:t>
      </w:r>
    </w:p>
    <w:p w:rsidR="00151913" w:rsidRPr="00F73C3A" w:rsidRDefault="007D3CFE" w:rsidP="00F61707">
      <w:pPr>
        <w:pStyle w:val="ListParagraph"/>
        <w:numPr>
          <w:ilvl w:val="0"/>
          <w:numId w:val="39"/>
        </w:numPr>
        <w:rPr>
          <w:rFonts w:ascii="Calibri" w:hAnsi="Calibri"/>
          <w:color w:val="262626" w:themeColor="text1" w:themeTint="D9"/>
        </w:rPr>
      </w:pPr>
      <w:r w:rsidRPr="00F73C3A">
        <w:rPr>
          <w:rFonts w:ascii="Calibri" w:hAnsi="Calibri"/>
          <w:color w:val="262626" w:themeColor="text1" w:themeTint="D9"/>
        </w:rPr>
        <w:t>the transport sector</w:t>
      </w:r>
      <w:r w:rsidR="00975102" w:rsidRPr="00F73C3A">
        <w:rPr>
          <w:rFonts w:ascii="Calibri" w:hAnsi="Calibri"/>
          <w:color w:val="262626" w:themeColor="text1" w:themeTint="D9"/>
        </w:rPr>
        <w:t xml:space="preserve"> as defined in Annex A</w:t>
      </w:r>
    </w:p>
    <w:p w:rsidR="00151913" w:rsidRPr="00F73C3A" w:rsidRDefault="007D3CFE" w:rsidP="00F61707">
      <w:pPr>
        <w:pStyle w:val="ListParagraph"/>
        <w:numPr>
          <w:ilvl w:val="0"/>
          <w:numId w:val="39"/>
        </w:numPr>
        <w:rPr>
          <w:rFonts w:ascii="Calibri" w:hAnsi="Calibri"/>
          <w:color w:val="262626" w:themeColor="text1" w:themeTint="D9"/>
        </w:rPr>
      </w:pPr>
      <w:r w:rsidRPr="00F73C3A">
        <w:rPr>
          <w:rFonts w:ascii="Calibri" w:hAnsi="Calibri"/>
          <w:color w:val="262626" w:themeColor="text1" w:themeTint="D9"/>
        </w:rPr>
        <w:t xml:space="preserve">energy generation, </w:t>
      </w:r>
      <w:r w:rsidR="002A5BF7" w:rsidRPr="00F73C3A">
        <w:rPr>
          <w:rFonts w:ascii="Calibri" w:hAnsi="Calibri"/>
          <w:color w:val="262626" w:themeColor="text1" w:themeTint="D9"/>
        </w:rPr>
        <w:t>distribution and infrastructure</w:t>
      </w:r>
    </w:p>
    <w:p w:rsidR="00151913" w:rsidRPr="00F73C3A" w:rsidRDefault="002A5BF7" w:rsidP="00F61707">
      <w:pPr>
        <w:pStyle w:val="ListParagraph"/>
        <w:numPr>
          <w:ilvl w:val="0"/>
          <w:numId w:val="39"/>
        </w:numPr>
        <w:rPr>
          <w:rFonts w:ascii="Calibri" w:hAnsi="Calibri"/>
          <w:color w:val="262626" w:themeColor="text1" w:themeTint="D9"/>
        </w:rPr>
      </w:pPr>
      <w:r w:rsidRPr="00F73C3A">
        <w:rPr>
          <w:rFonts w:ascii="Calibri" w:hAnsi="Calibri"/>
          <w:color w:val="262626" w:themeColor="text1" w:themeTint="D9"/>
        </w:rPr>
        <w:t>the shipbuilding sector</w:t>
      </w:r>
    </w:p>
    <w:p w:rsidR="00151913" w:rsidRPr="00F73C3A" w:rsidRDefault="000011CF" w:rsidP="00F61707">
      <w:pPr>
        <w:pStyle w:val="ListParagraph"/>
        <w:numPr>
          <w:ilvl w:val="0"/>
          <w:numId w:val="40"/>
        </w:numPr>
        <w:rPr>
          <w:rFonts w:ascii="Calibri" w:hAnsi="Calibri"/>
          <w:color w:val="262626" w:themeColor="text1" w:themeTint="D9"/>
        </w:rPr>
      </w:pPr>
      <w:r w:rsidRPr="00F73C3A">
        <w:rPr>
          <w:rFonts w:ascii="Calibri" w:hAnsi="Calibri"/>
          <w:color w:val="262626" w:themeColor="text1" w:themeTint="D9"/>
        </w:rPr>
        <w:t>the synthetic fibres sector as defined in Annex A</w:t>
      </w:r>
    </w:p>
    <w:p w:rsidR="007F6686" w:rsidRPr="00F73C3A" w:rsidRDefault="00612905" w:rsidP="008B3673">
      <w:pPr>
        <w:rPr>
          <w:rFonts w:ascii="Calibri" w:hAnsi="Calibri"/>
          <w:color w:val="262626" w:themeColor="text1" w:themeTint="D9"/>
        </w:rPr>
      </w:pPr>
      <w:r w:rsidRPr="00F73C3A">
        <w:rPr>
          <w:rFonts w:ascii="Calibri" w:hAnsi="Calibri"/>
          <w:color w:val="262626" w:themeColor="text1" w:themeTint="D9"/>
        </w:rPr>
        <w:t>Cumbria Growth Fund</w:t>
      </w:r>
      <w:r w:rsidR="00045B57" w:rsidRPr="00F73C3A">
        <w:rPr>
          <w:rFonts w:ascii="Calibri" w:hAnsi="Calibri"/>
          <w:color w:val="262626" w:themeColor="text1" w:themeTint="D9"/>
        </w:rPr>
        <w:t xml:space="preserve"> will not normally be available to businesses in the following sectors, unless applicants can demonstrate that the project will not displace jobs in other businesses and will add exceptional value to the economy</w:t>
      </w:r>
      <w:r w:rsidR="007F6686" w:rsidRPr="00F73C3A">
        <w:rPr>
          <w:rFonts w:ascii="Calibri" w:hAnsi="Calibri"/>
          <w:color w:val="262626" w:themeColor="text1" w:themeTint="D9"/>
        </w:rPr>
        <w:t>:</w:t>
      </w:r>
    </w:p>
    <w:p w:rsidR="007F6686" w:rsidRPr="00F73C3A" w:rsidRDefault="007F6686" w:rsidP="00F61707">
      <w:pPr>
        <w:pStyle w:val="ListParagraph"/>
        <w:numPr>
          <w:ilvl w:val="0"/>
          <w:numId w:val="3"/>
        </w:numPr>
        <w:rPr>
          <w:rFonts w:ascii="Calibri" w:hAnsi="Calibri"/>
          <w:color w:val="262626" w:themeColor="text1" w:themeTint="D9"/>
        </w:rPr>
      </w:pPr>
      <w:r w:rsidRPr="00F73C3A">
        <w:rPr>
          <w:rFonts w:ascii="Calibri" w:hAnsi="Calibri"/>
          <w:color w:val="262626" w:themeColor="text1" w:themeTint="D9"/>
        </w:rPr>
        <w:t>retail</w:t>
      </w:r>
    </w:p>
    <w:p w:rsidR="007F6686" w:rsidRPr="00F73C3A" w:rsidRDefault="007F6686" w:rsidP="00F61707">
      <w:pPr>
        <w:pStyle w:val="ListParagraph"/>
        <w:numPr>
          <w:ilvl w:val="0"/>
          <w:numId w:val="3"/>
        </w:numPr>
        <w:rPr>
          <w:rFonts w:ascii="Calibri" w:hAnsi="Calibri"/>
          <w:color w:val="262626" w:themeColor="text1" w:themeTint="D9"/>
        </w:rPr>
      </w:pPr>
      <w:r w:rsidRPr="00F73C3A">
        <w:rPr>
          <w:rFonts w:ascii="Calibri" w:hAnsi="Calibri"/>
          <w:color w:val="262626" w:themeColor="text1" w:themeTint="D9"/>
        </w:rPr>
        <w:t>local services</w:t>
      </w:r>
      <w:r w:rsidR="00450A22" w:rsidRPr="00F73C3A">
        <w:rPr>
          <w:rFonts w:ascii="Calibri" w:hAnsi="Calibri"/>
          <w:color w:val="262626" w:themeColor="text1" w:themeTint="D9"/>
        </w:rPr>
        <w:t xml:space="preserve"> </w:t>
      </w:r>
    </w:p>
    <w:p w:rsidR="007F6686" w:rsidRPr="00F73C3A" w:rsidRDefault="007F6686" w:rsidP="00F61707">
      <w:pPr>
        <w:pStyle w:val="ListParagraph"/>
        <w:numPr>
          <w:ilvl w:val="0"/>
          <w:numId w:val="3"/>
        </w:numPr>
        <w:rPr>
          <w:rFonts w:ascii="Calibri" w:hAnsi="Calibri"/>
          <w:color w:val="262626" w:themeColor="text1" w:themeTint="D9"/>
        </w:rPr>
      </w:pPr>
      <w:r w:rsidRPr="00F73C3A">
        <w:rPr>
          <w:rFonts w:ascii="Calibri" w:hAnsi="Calibri"/>
          <w:color w:val="262626" w:themeColor="text1" w:themeTint="D9"/>
        </w:rPr>
        <w:t>tourism</w:t>
      </w:r>
      <w:r w:rsidR="000364C4" w:rsidRPr="00F73C3A">
        <w:rPr>
          <w:rFonts w:ascii="Calibri" w:hAnsi="Calibri"/>
          <w:color w:val="262626" w:themeColor="text1" w:themeTint="D9"/>
        </w:rPr>
        <w:t xml:space="preserve"> (including hotels and leisure facilities)</w:t>
      </w:r>
    </w:p>
    <w:p w:rsidR="007F6686" w:rsidRPr="00F73C3A" w:rsidRDefault="007F6686" w:rsidP="00F61707">
      <w:pPr>
        <w:pStyle w:val="ListParagraph"/>
        <w:numPr>
          <w:ilvl w:val="0"/>
          <w:numId w:val="3"/>
        </w:numPr>
        <w:rPr>
          <w:rFonts w:ascii="Calibri" w:hAnsi="Calibri"/>
          <w:color w:val="262626" w:themeColor="text1" w:themeTint="D9"/>
        </w:rPr>
      </w:pPr>
      <w:r w:rsidRPr="00F73C3A">
        <w:rPr>
          <w:rFonts w:ascii="Calibri" w:hAnsi="Calibri"/>
          <w:color w:val="262626" w:themeColor="text1" w:themeTint="D9"/>
        </w:rPr>
        <w:t>warehousing</w:t>
      </w:r>
    </w:p>
    <w:p w:rsidR="007F6686" w:rsidRPr="00F73C3A" w:rsidRDefault="007F6686" w:rsidP="00F61707">
      <w:pPr>
        <w:pStyle w:val="ListParagraph"/>
        <w:numPr>
          <w:ilvl w:val="0"/>
          <w:numId w:val="3"/>
        </w:numPr>
        <w:rPr>
          <w:rFonts w:ascii="Calibri" w:hAnsi="Calibri"/>
          <w:color w:val="262626" w:themeColor="text1" w:themeTint="D9"/>
        </w:rPr>
      </w:pPr>
      <w:r w:rsidRPr="00F73C3A">
        <w:rPr>
          <w:rFonts w:ascii="Calibri" w:hAnsi="Calibri"/>
          <w:color w:val="262626" w:themeColor="text1" w:themeTint="D9"/>
        </w:rPr>
        <w:t>construction</w:t>
      </w:r>
    </w:p>
    <w:p w:rsidR="007F6686" w:rsidRPr="00F73C3A" w:rsidRDefault="007F6686" w:rsidP="00F61707">
      <w:pPr>
        <w:pStyle w:val="ListParagraph"/>
        <w:numPr>
          <w:ilvl w:val="0"/>
          <w:numId w:val="3"/>
        </w:numPr>
        <w:rPr>
          <w:rFonts w:ascii="Calibri" w:hAnsi="Calibri"/>
          <w:color w:val="262626" w:themeColor="text1" w:themeTint="D9"/>
        </w:rPr>
      </w:pPr>
      <w:r w:rsidRPr="00F73C3A">
        <w:rPr>
          <w:rFonts w:ascii="Calibri" w:hAnsi="Calibri"/>
          <w:color w:val="262626" w:themeColor="text1" w:themeTint="D9"/>
        </w:rPr>
        <w:t>education</w:t>
      </w:r>
    </w:p>
    <w:p w:rsidR="007F6686" w:rsidRPr="00F73C3A" w:rsidRDefault="007F6686" w:rsidP="00F61707">
      <w:pPr>
        <w:pStyle w:val="ListParagraph"/>
        <w:numPr>
          <w:ilvl w:val="0"/>
          <w:numId w:val="3"/>
        </w:numPr>
        <w:rPr>
          <w:rFonts w:ascii="Calibri" w:hAnsi="Calibri"/>
          <w:color w:val="262626" w:themeColor="text1" w:themeTint="D9"/>
        </w:rPr>
      </w:pPr>
      <w:r w:rsidRPr="00F73C3A">
        <w:rPr>
          <w:rFonts w:ascii="Calibri" w:hAnsi="Calibri"/>
          <w:color w:val="262626" w:themeColor="text1" w:themeTint="D9"/>
        </w:rPr>
        <w:lastRenderedPageBreak/>
        <w:t>health service</w:t>
      </w:r>
      <w:r w:rsidR="00594EA7" w:rsidRPr="00F73C3A">
        <w:rPr>
          <w:rFonts w:ascii="Calibri" w:hAnsi="Calibri"/>
          <w:color w:val="262626" w:themeColor="text1" w:themeTint="D9"/>
        </w:rPr>
        <w:t xml:space="preserve"> (including medical services and residential care)</w:t>
      </w:r>
    </w:p>
    <w:p w:rsidR="007F6686" w:rsidRPr="00F73C3A" w:rsidRDefault="007F6686" w:rsidP="00F61707">
      <w:pPr>
        <w:pStyle w:val="ListParagraph"/>
        <w:numPr>
          <w:ilvl w:val="0"/>
          <w:numId w:val="3"/>
        </w:numPr>
        <w:rPr>
          <w:rFonts w:ascii="Calibri" w:hAnsi="Calibri"/>
          <w:color w:val="262626" w:themeColor="text1" w:themeTint="D9"/>
        </w:rPr>
      </w:pPr>
      <w:r w:rsidRPr="00F73C3A">
        <w:rPr>
          <w:rFonts w:ascii="Calibri" w:hAnsi="Calibri"/>
          <w:color w:val="262626" w:themeColor="text1" w:themeTint="D9"/>
        </w:rPr>
        <w:t>public sector</w:t>
      </w:r>
    </w:p>
    <w:p w:rsidR="000011CF" w:rsidRPr="00F73C3A" w:rsidRDefault="007F6686" w:rsidP="00F61707">
      <w:pPr>
        <w:pStyle w:val="ListParagraph"/>
        <w:numPr>
          <w:ilvl w:val="0"/>
          <w:numId w:val="3"/>
        </w:numPr>
        <w:rPr>
          <w:rFonts w:ascii="Calibri" w:hAnsi="Calibri"/>
          <w:color w:val="262626" w:themeColor="text1" w:themeTint="D9"/>
        </w:rPr>
      </w:pPr>
      <w:r w:rsidRPr="00F73C3A">
        <w:rPr>
          <w:rFonts w:ascii="Calibri" w:hAnsi="Calibri"/>
          <w:color w:val="262626" w:themeColor="text1" w:themeTint="D9"/>
        </w:rPr>
        <w:t>infrastructure</w:t>
      </w:r>
      <w:r w:rsidR="000011CF" w:rsidRPr="00F73C3A">
        <w:rPr>
          <w:rFonts w:ascii="Calibri" w:hAnsi="Calibri"/>
          <w:color w:val="262626" w:themeColor="text1" w:themeTint="D9"/>
        </w:rPr>
        <w:t xml:space="preserve"> </w:t>
      </w:r>
    </w:p>
    <w:p w:rsidR="00376918" w:rsidRPr="00F73C3A" w:rsidRDefault="00376918" w:rsidP="00F61707">
      <w:pPr>
        <w:pStyle w:val="ListParagraph"/>
        <w:numPr>
          <w:ilvl w:val="0"/>
          <w:numId w:val="3"/>
        </w:numPr>
        <w:rPr>
          <w:rFonts w:ascii="Calibri" w:hAnsi="Calibri"/>
          <w:color w:val="262626" w:themeColor="text1" w:themeTint="D9"/>
        </w:rPr>
      </w:pPr>
      <w:r w:rsidRPr="00F73C3A">
        <w:rPr>
          <w:rFonts w:ascii="Calibri" w:hAnsi="Calibri"/>
          <w:color w:val="262626" w:themeColor="text1" w:themeTint="D9"/>
        </w:rPr>
        <w:t>franchise operations</w:t>
      </w:r>
    </w:p>
    <w:p w:rsidR="000364C4" w:rsidRPr="00F73C3A" w:rsidRDefault="008B3673" w:rsidP="00F61707">
      <w:pPr>
        <w:pStyle w:val="ListParagraph"/>
        <w:numPr>
          <w:ilvl w:val="0"/>
          <w:numId w:val="3"/>
        </w:numPr>
        <w:rPr>
          <w:rFonts w:ascii="Calibri" w:hAnsi="Calibri"/>
          <w:color w:val="262626" w:themeColor="text1" w:themeTint="D9"/>
        </w:rPr>
      </w:pPr>
      <w:r w:rsidRPr="00F73C3A">
        <w:rPr>
          <w:rFonts w:ascii="Calibri" w:hAnsi="Calibri"/>
          <w:color w:val="262626" w:themeColor="text1" w:themeTint="D9"/>
        </w:rPr>
        <w:t>property development</w:t>
      </w:r>
      <w:r w:rsidR="000364C4" w:rsidRPr="00F73C3A">
        <w:rPr>
          <w:rFonts w:ascii="Calibri" w:hAnsi="Calibri"/>
          <w:color w:val="262626" w:themeColor="text1" w:themeTint="D9"/>
        </w:rPr>
        <w:t xml:space="preserve"> and investment</w:t>
      </w:r>
      <w:r w:rsidRPr="00F73C3A">
        <w:rPr>
          <w:rFonts w:ascii="Calibri" w:hAnsi="Calibri"/>
          <w:color w:val="262626" w:themeColor="text1" w:themeTint="D9"/>
        </w:rPr>
        <w:t>.</w:t>
      </w:r>
    </w:p>
    <w:p w:rsidR="000011CF" w:rsidRPr="00F73C3A" w:rsidRDefault="000011CF" w:rsidP="008B3673">
      <w:pPr>
        <w:rPr>
          <w:rFonts w:ascii="Calibri" w:hAnsi="Calibri"/>
          <w:color w:val="262626" w:themeColor="text1" w:themeTint="D9"/>
        </w:rPr>
      </w:pPr>
      <w:r w:rsidRPr="00F73C3A">
        <w:rPr>
          <w:rFonts w:ascii="Calibri" w:hAnsi="Calibri"/>
          <w:color w:val="262626" w:themeColor="text1" w:themeTint="D9"/>
        </w:rPr>
        <w:t xml:space="preserve">In situations where there is an inconsistency between EC restrictions and the objectives of the </w:t>
      </w:r>
      <w:r w:rsidR="00612905" w:rsidRPr="00F73C3A">
        <w:rPr>
          <w:rFonts w:ascii="Calibri" w:hAnsi="Calibri"/>
          <w:color w:val="262626" w:themeColor="text1" w:themeTint="D9"/>
        </w:rPr>
        <w:t>Cumbria Growth Fund</w:t>
      </w:r>
      <w:r w:rsidRPr="00F73C3A">
        <w:rPr>
          <w:rFonts w:ascii="Calibri" w:hAnsi="Calibri"/>
          <w:color w:val="262626" w:themeColor="text1" w:themeTint="D9"/>
        </w:rPr>
        <w:t xml:space="preserve"> scheme</w:t>
      </w:r>
      <w:r w:rsidR="00A7502B" w:rsidRPr="00F73C3A">
        <w:rPr>
          <w:rFonts w:ascii="Calibri" w:hAnsi="Calibri"/>
          <w:color w:val="262626" w:themeColor="text1" w:themeTint="D9"/>
        </w:rPr>
        <w:t>,</w:t>
      </w:r>
      <w:r w:rsidRPr="00F73C3A">
        <w:rPr>
          <w:rFonts w:ascii="Calibri" w:hAnsi="Calibri"/>
          <w:color w:val="262626" w:themeColor="text1" w:themeTint="D9"/>
        </w:rPr>
        <w:t xml:space="preserve"> the EC restrictions take precedence.</w:t>
      </w:r>
    </w:p>
    <w:p w:rsidR="00376918" w:rsidRPr="00F73C3A" w:rsidRDefault="00594EA7" w:rsidP="008B3673">
      <w:pPr>
        <w:rPr>
          <w:rFonts w:ascii="Calibri" w:hAnsi="Calibri"/>
          <w:color w:val="262626" w:themeColor="text1" w:themeTint="D9"/>
        </w:rPr>
      </w:pPr>
      <w:r w:rsidRPr="00F73C3A">
        <w:rPr>
          <w:rFonts w:ascii="Calibri" w:hAnsi="Calibri"/>
          <w:color w:val="262626" w:themeColor="text1" w:themeTint="D9"/>
        </w:rPr>
        <w:t>In all cases, to qualify as a commercial activity at least 50% of income or</w:t>
      </w:r>
      <w:r w:rsidR="008B3673" w:rsidRPr="00F73C3A">
        <w:rPr>
          <w:rFonts w:ascii="Calibri" w:hAnsi="Calibri"/>
          <w:color w:val="262626" w:themeColor="text1" w:themeTint="D9"/>
        </w:rPr>
        <w:t xml:space="preserve"> </w:t>
      </w:r>
      <w:r w:rsidRPr="00F73C3A">
        <w:rPr>
          <w:rFonts w:ascii="Calibri" w:hAnsi="Calibri"/>
          <w:color w:val="262626" w:themeColor="text1" w:themeTint="D9"/>
        </w:rPr>
        <w:t>profits must be derived from business trading.</w:t>
      </w:r>
    </w:p>
    <w:p w:rsidR="00F73C3A" w:rsidRDefault="00F73C3A" w:rsidP="00B526D1">
      <w:pPr>
        <w:spacing w:after="0"/>
        <w:rPr>
          <w:rFonts w:ascii="Calibri" w:hAnsi="Calibri"/>
          <w:b/>
          <w:color w:val="262626" w:themeColor="text1" w:themeTint="D9"/>
          <w:sz w:val="24"/>
          <w:szCs w:val="24"/>
        </w:rPr>
      </w:pPr>
      <w:bookmarkStart w:id="12" w:name="_Toc349307603"/>
      <w:bookmarkStart w:id="13" w:name="_Toc349307752"/>
      <w:bookmarkStart w:id="14" w:name="_Toc349308185"/>
      <w:bookmarkStart w:id="15" w:name="_Toc349308262"/>
      <w:bookmarkStart w:id="16" w:name="_Toc349308370"/>
      <w:bookmarkStart w:id="17" w:name="_Toc349308463"/>
    </w:p>
    <w:p w:rsidR="000011CF" w:rsidRPr="00F73C3A" w:rsidRDefault="000011CF" w:rsidP="00B526D1">
      <w:pPr>
        <w:spacing w:after="0"/>
        <w:rPr>
          <w:rFonts w:ascii="Calibri" w:hAnsi="Calibri"/>
          <w:b/>
          <w:color w:val="262626" w:themeColor="text1" w:themeTint="D9"/>
          <w:sz w:val="24"/>
          <w:szCs w:val="24"/>
        </w:rPr>
      </w:pPr>
      <w:r w:rsidRPr="00F73C3A">
        <w:rPr>
          <w:rFonts w:ascii="Calibri" w:hAnsi="Calibri"/>
          <w:b/>
          <w:color w:val="262626" w:themeColor="text1" w:themeTint="D9"/>
          <w:sz w:val="24"/>
          <w:szCs w:val="24"/>
        </w:rPr>
        <w:t>Contract bids</w:t>
      </w:r>
      <w:bookmarkEnd w:id="12"/>
      <w:bookmarkEnd w:id="13"/>
      <w:bookmarkEnd w:id="14"/>
      <w:bookmarkEnd w:id="15"/>
      <w:bookmarkEnd w:id="16"/>
      <w:bookmarkEnd w:id="17"/>
    </w:p>
    <w:p w:rsidR="000364C4" w:rsidRPr="00F73C3A" w:rsidRDefault="000011CF">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 xml:space="preserve">Assistance </w:t>
      </w:r>
      <w:r w:rsidR="00B96E7A" w:rsidRPr="00F73C3A">
        <w:rPr>
          <w:rFonts w:ascii="Calibri" w:hAnsi="Calibri" w:cs="Arial"/>
          <w:color w:val="262626" w:themeColor="text1" w:themeTint="D9"/>
          <w:szCs w:val="20"/>
          <w:lang w:val="en-US"/>
        </w:rPr>
        <w:t>will</w:t>
      </w:r>
      <w:r w:rsidRPr="00F73C3A">
        <w:rPr>
          <w:rFonts w:ascii="Calibri" w:hAnsi="Calibri" w:cs="Arial"/>
          <w:color w:val="262626" w:themeColor="text1" w:themeTint="D9"/>
          <w:szCs w:val="20"/>
          <w:lang w:val="en-US"/>
        </w:rPr>
        <w:t xml:space="preserve"> not be offered to underpin a contract bid under the</w:t>
      </w:r>
      <w:r w:rsidR="008B3673"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rules of a competitive tender. In addition to the potential distortion of price, the benefit could also be to the detriment of other bidders. Projects based on single contracts also carry more risk with regard to sustainability.</w:t>
      </w:r>
    </w:p>
    <w:p w:rsidR="000364C4" w:rsidRPr="00F73C3A" w:rsidRDefault="000364C4" w:rsidP="00B526D1">
      <w:pPr>
        <w:spacing w:after="0"/>
        <w:rPr>
          <w:rFonts w:ascii="Calibri" w:hAnsi="Calibri"/>
          <w:b/>
          <w:color w:val="262626" w:themeColor="text1" w:themeTint="D9"/>
          <w:sz w:val="24"/>
          <w:szCs w:val="24"/>
        </w:rPr>
      </w:pPr>
      <w:bookmarkStart w:id="18" w:name="_Toc349307604"/>
      <w:bookmarkStart w:id="19" w:name="_Toc349307753"/>
      <w:bookmarkStart w:id="20" w:name="_Toc349308186"/>
      <w:bookmarkStart w:id="21" w:name="_Toc349308263"/>
      <w:bookmarkStart w:id="22" w:name="_Toc349308371"/>
      <w:bookmarkStart w:id="23" w:name="_Toc349308464"/>
      <w:r w:rsidRPr="00F73C3A">
        <w:rPr>
          <w:rFonts w:ascii="Calibri" w:hAnsi="Calibri"/>
          <w:b/>
          <w:color w:val="262626" w:themeColor="text1" w:themeTint="D9"/>
          <w:sz w:val="24"/>
          <w:szCs w:val="24"/>
        </w:rPr>
        <w:t>R&amp;D projects</w:t>
      </w:r>
      <w:bookmarkEnd w:id="18"/>
      <w:bookmarkEnd w:id="19"/>
      <w:bookmarkEnd w:id="20"/>
      <w:bookmarkEnd w:id="21"/>
      <w:bookmarkEnd w:id="22"/>
      <w:bookmarkEnd w:id="23"/>
    </w:p>
    <w:p w:rsidR="00A400E5" w:rsidRPr="00F73C3A" w:rsidRDefault="00A400E5" w:rsidP="00A400E5">
      <w:pPr>
        <w:autoSpaceDE w:val="0"/>
        <w:autoSpaceDN w:val="0"/>
        <w:adjustRightInd w:val="0"/>
        <w:rPr>
          <w:rFonts w:ascii="Calibri" w:hAnsi="Calibri" w:cs="Arial"/>
          <w:color w:val="262626" w:themeColor="text1" w:themeTint="D9"/>
          <w:szCs w:val="20"/>
        </w:rPr>
      </w:pPr>
      <w:r w:rsidRPr="00F73C3A">
        <w:rPr>
          <w:rFonts w:ascii="Calibri" w:hAnsi="Calibri" w:cs="Arial"/>
          <w:bCs/>
          <w:color w:val="262626" w:themeColor="text1" w:themeTint="D9"/>
          <w:szCs w:val="20"/>
        </w:rPr>
        <w:t xml:space="preserve">Research </w:t>
      </w:r>
      <w:r w:rsidRPr="00F73C3A">
        <w:rPr>
          <w:rFonts w:ascii="Calibri" w:hAnsi="Calibri" w:cs="Arial"/>
          <w:color w:val="262626" w:themeColor="text1" w:themeTint="D9"/>
          <w:szCs w:val="20"/>
        </w:rPr>
        <w:t xml:space="preserve">grants help businesses assess the technological and commercial feasibility of an innovative technology. These projects will involve planned research or critical investigation aimed at producing new scientific or technical knowledge, which may be useful in developing new products, processes or services. ‘Blue skies’ research is not eligible. </w:t>
      </w:r>
    </w:p>
    <w:p w:rsidR="007D3CFE" w:rsidRPr="00F73C3A" w:rsidRDefault="00A400E5" w:rsidP="008B3673">
      <w:pPr>
        <w:rPr>
          <w:rFonts w:ascii="Calibri" w:hAnsi="Calibri"/>
          <w:color w:val="262626" w:themeColor="text1" w:themeTint="D9"/>
        </w:rPr>
      </w:pPr>
      <w:r w:rsidRPr="00F73C3A">
        <w:rPr>
          <w:rFonts w:ascii="Calibri" w:hAnsi="Calibri"/>
          <w:bCs/>
          <w:color w:val="262626" w:themeColor="text1" w:themeTint="D9"/>
        </w:rPr>
        <w:t xml:space="preserve">Projects may include: </w:t>
      </w:r>
      <w:r w:rsidRPr="00F73C3A">
        <w:rPr>
          <w:rFonts w:ascii="Calibri" w:hAnsi="Calibri"/>
          <w:color w:val="262626" w:themeColor="text1" w:themeTint="D9"/>
        </w:rPr>
        <w:t>conceptual formulation and design, technical feasibility studies, trials and testing, small-scale demonstration to provide basic proof of technical feasibility, IP protection, investigation of production and assembly options, pre-clinical research studies including target</w:t>
      </w:r>
      <w:r w:rsidR="007D3CFE" w:rsidRPr="00F73C3A">
        <w:rPr>
          <w:rFonts w:ascii="Calibri" w:hAnsi="Calibri"/>
          <w:color w:val="262626" w:themeColor="text1" w:themeTint="D9"/>
        </w:rPr>
        <w:t xml:space="preserve"> identification and validation.</w:t>
      </w:r>
    </w:p>
    <w:p w:rsidR="00A400E5" w:rsidRPr="00F73C3A" w:rsidRDefault="00A400E5" w:rsidP="008B3673">
      <w:pPr>
        <w:rPr>
          <w:rFonts w:ascii="Calibri" w:hAnsi="Calibri"/>
          <w:color w:val="262626" w:themeColor="text1" w:themeTint="D9"/>
        </w:rPr>
      </w:pPr>
      <w:r w:rsidRPr="00F73C3A">
        <w:rPr>
          <w:rFonts w:ascii="Calibri" w:hAnsi="Calibri"/>
          <w:color w:val="262626" w:themeColor="text1" w:themeTint="D9"/>
        </w:rPr>
        <w:t>Research Projects will aim to:</w:t>
      </w:r>
    </w:p>
    <w:p w:rsidR="00A400E5" w:rsidRPr="00F73C3A" w:rsidRDefault="00A400E5" w:rsidP="00F61707">
      <w:pPr>
        <w:pStyle w:val="ListParagraph"/>
        <w:numPr>
          <w:ilvl w:val="0"/>
          <w:numId w:val="4"/>
        </w:numPr>
        <w:rPr>
          <w:rFonts w:ascii="Calibri" w:hAnsi="Calibri"/>
          <w:color w:val="262626" w:themeColor="text1" w:themeTint="D9"/>
        </w:rPr>
      </w:pPr>
      <w:r w:rsidRPr="00F73C3A">
        <w:rPr>
          <w:rFonts w:ascii="Calibri" w:hAnsi="Calibri"/>
          <w:color w:val="262626" w:themeColor="text1" w:themeTint="D9"/>
        </w:rPr>
        <w:t>confirm the original technical</w:t>
      </w:r>
      <w:r w:rsidR="00450A22" w:rsidRPr="00F73C3A">
        <w:rPr>
          <w:rFonts w:ascii="Calibri" w:hAnsi="Calibri"/>
          <w:color w:val="262626" w:themeColor="text1" w:themeTint="D9"/>
        </w:rPr>
        <w:t xml:space="preserve"> and commercial aims are viable</w:t>
      </w:r>
    </w:p>
    <w:p w:rsidR="00A400E5" w:rsidRPr="00F73C3A" w:rsidRDefault="00A400E5" w:rsidP="00F61707">
      <w:pPr>
        <w:pStyle w:val="ListParagraph"/>
        <w:numPr>
          <w:ilvl w:val="0"/>
          <w:numId w:val="4"/>
        </w:numPr>
        <w:rPr>
          <w:rFonts w:ascii="Calibri" w:hAnsi="Calibri"/>
          <w:color w:val="262626" w:themeColor="text1" w:themeTint="D9"/>
        </w:rPr>
      </w:pPr>
      <w:r w:rsidRPr="00F73C3A">
        <w:rPr>
          <w:rFonts w:ascii="Calibri" w:hAnsi="Calibri"/>
          <w:color w:val="262626" w:themeColor="text1" w:themeTint="D9"/>
        </w:rPr>
        <w:t xml:space="preserve">carry out any basic research </w:t>
      </w:r>
      <w:r w:rsidR="00A7502B" w:rsidRPr="00F73C3A">
        <w:rPr>
          <w:rStyle w:val="FootnoteReference"/>
          <w:rFonts w:ascii="Calibri" w:hAnsi="Calibri"/>
          <w:color w:val="262626" w:themeColor="text1" w:themeTint="D9"/>
        </w:rPr>
        <w:footnoteReference w:id="1"/>
      </w:r>
      <w:r w:rsidR="00A7502B" w:rsidRPr="00F73C3A">
        <w:rPr>
          <w:rFonts w:ascii="Calibri" w:hAnsi="Calibri"/>
          <w:color w:val="262626" w:themeColor="text1" w:themeTint="D9"/>
        </w:rPr>
        <w:t xml:space="preserve"> </w:t>
      </w:r>
      <w:r w:rsidR="00450A22" w:rsidRPr="00F73C3A">
        <w:rPr>
          <w:rFonts w:ascii="Calibri" w:hAnsi="Calibri"/>
          <w:color w:val="262626" w:themeColor="text1" w:themeTint="D9"/>
        </w:rPr>
        <w:t>needed to define the objectives</w:t>
      </w:r>
    </w:p>
    <w:p w:rsidR="00A400E5" w:rsidRPr="00F73C3A" w:rsidRDefault="00A400E5" w:rsidP="00F61707">
      <w:pPr>
        <w:pStyle w:val="ListParagraph"/>
        <w:numPr>
          <w:ilvl w:val="0"/>
          <w:numId w:val="4"/>
        </w:numPr>
        <w:rPr>
          <w:rFonts w:ascii="Calibri" w:hAnsi="Calibri"/>
          <w:color w:val="262626" w:themeColor="text1" w:themeTint="D9"/>
        </w:rPr>
      </w:pPr>
      <w:r w:rsidRPr="00F73C3A">
        <w:rPr>
          <w:rFonts w:ascii="Calibri" w:hAnsi="Calibri"/>
          <w:color w:val="262626" w:themeColor="text1" w:themeTint="D9"/>
        </w:rPr>
        <w:t>define the operationa</w:t>
      </w:r>
      <w:r w:rsidR="00450A22" w:rsidRPr="00F73C3A">
        <w:rPr>
          <w:rFonts w:ascii="Calibri" w:hAnsi="Calibri"/>
          <w:color w:val="262626" w:themeColor="text1" w:themeTint="D9"/>
        </w:rPr>
        <w:t>l, technical and design aspects</w:t>
      </w:r>
    </w:p>
    <w:p w:rsidR="00A400E5" w:rsidRPr="00F73C3A" w:rsidRDefault="00A400E5" w:rsidP="00F61707">
      <w:pPr>
        <w:pStyle w:val="ListParagraph"/>
        <w:numPr>
          <w:ilvl w:val="0"/>
          <w:numId w:val="4"/>
        </w:numPr>
        <w:rPr>
          <w:rFonts w:ascii="Calibri" w:hAnsi="Calibri"/>
          <w:color w:val="262626" w:themeColor="text1" w:themeTint="D9"/>
        </w:rPr>
      </w:pPr>
      <w:r w:rsidRPr="00F73C3A">
        <w:rPr>
          <w:rFonts w:ascii="Calibri" w:hAnsi="Calibri"/>
          <w:color w:val="262626" w:themeColor="text1" w:themeTint="D9"/>
        </w:rPr>
        <w:t>consider action on any intellectual property arisin</w:t>
      </w:r>
      <w:r w:rsidR="00450A22" w:rsidRPr="00F73C3A">
        <w:rPr>
          <w:rFonts w:ascii="Calibri" w:hAnsi="Calibri"/>
          <w:color w:val="262626" w:themeColor="text1" w:themeTint="D9"/>
        </w:rPr>
        <w:t>g from or needed by the project</w:t>
      </w:r>
    </w:p>
    <w:p w:rsidR="00A400E5" w:rsidRPr="00F73C3A" w:rsidRDefault="00A400E5" w:rsidP="00F61707">
      <w:pPr>
        <w:pStyle w:val="ListParagraph"/>
        <w:numPr>
          <w:ilvl w:val="0"/>
          <w:numId w:val="4"/>
        </w:numPr>
        <w:rPr>
          <w:rFonts w:ascii="Calibri" w:hAnsi="Calibri"/>
          <w:color w:val="262626" w:themeColor="text1" w:themeTint="D9"/>
        </w:rPr>
      </w:pPr>
      <w:r w:rsidRPr="00F73C3A">
        <w:rPr>
          <w:rFonts w:ascii="Calibri" w:hAnsi="Calibri"/>
          <w:color w:val="262626" w:themeColor="text1" w:themeTint="D9"/>
        </w:rPr>
        <w:t xml:space="preserve">determine the prospective benefits, </w:t>
      </w:r>
      <w:r w:rsidR="00450A22" w:rsidRPr="00F73C3A">
        <w:rPr>
          <w:rFonts w:ascii="Calibri" w:hAnsi="Calibri"/>
          <w:color w:val="262626" w:themeColor="text1" w:themeTint="D9"/>
        </w:rPr>
        <w:t>including the potential outputs</w:t>
      </w:r>
    </w:p>
    <w:p w:rsidR="00A400E5" w:rsidRPr="00F73C3A" w:rsidRDefault="00A400E5" w:rsidP="00F61707">
      <w:pPr>
        <w:pStyle w:val="ListParagraph"/>
        <w:numPr>
          <w:ilvl w:val="0"/>
          <w:numId w:val="4"/>
        </w:numPr>
        <w:rPr>
          <w:rFonts w:ascii="Calibri" w:hAnsi="Calibri"/>
          <w:color w:val="262626" w:themeColor="text1" w:themeTint="D9"/>
        </w:rPr>
      </w:pPr>
      <w:r w:rsidRPr="00F73C3A">
        <w:rPr>
          <w:rFonts w:ascii="Calibri" w:hAnsi="Calibri"/>
          <w:color w:val="262626" w:themeColor="text1" w:themeTint="D9"/>
        </w:rPr>
        <w:t xml:space="preserve">determine the longer term market effects and </w:t>
      </w:r>
      <w:r w:rsidR="00450A22" w:rsidRPr="00F73C3A">
        <w:rPr>
          <w:rFonts w:ascii="Calibri" w:hAnsi="Calibri"/>
          <w:color w:val="262626" w:themeColor="text1" w:themeTint="D9"/>
        </w:rPr>
        <w:t>the possibility of exploitation</w:t>
      </w:r>
    </w:p>
    <w:p w:rsidR="00A400E5" w:rsidRPr="00F73C3A" w:rsidRDefault="00A400E5" w:rsidP="00F61707">
      <w:pPr>
        <w:pStyle w:val="ListParagraph"/>
        <w:numPr>
          <w:ilvl w:val="0"/>
          <w:numId w:val="4"/>
        </w:numPr>
        <w:rPr>
          <w:rFonts w:ascii="Calibri" w:hAnsi="Calibri"/>
          <w:color w:val="262626" w:themeColor="text1" w:themeTint="D9"/>
        </w:rPr>
      </w:pPr>
      <w:r w:rsidRPr="00F73C3A">
        <w:rPr>
          <w:rFonts w:ascii="Calibri" w:hAnsi="Calibri"/>
          <w:color w:val="262626" w:themeColor="text1" w:themeTint="D9"/>
        </w:rPr>
        <w:t>set overall and phase objectives and target dates for the full project</w:t>
      </w:r>
      <w:r w:rsidR="00450A22" w:rsidRPr="00F73C3A">
        <w:rPr>
          <w:rFonts w:ascii="Calibri" w:hAnsi="Calibri"/>
          <w:color w:val="262626" w:themeColor="text1" w:themeTint="D9"/>
        </w:rPr>
        <w:t xml:space="preserve"> and subsequent exploitation </w:t>
      </w:r>
      <w:r w:rsidRPr="00F73C3A">
        <w:rPr>
          <w:rFonts w:ascii="Calibri" w:hAnsi="Calibri"/>
          <w:color w:val="262626" w:themeColor="text1" w:themeTint="D9"/>
        </w:rPr>
        <w:t>and</w:t>
      </w:r>
    </w:p>
    <w:p w:rsidR="00A400E5" w:rsidRPr="00F73C3A" w:rsidRDefault="00A400E5" w:rsidP="00F61707">
      <w:pPr>
        <w:pStyle w:val="ListParagraph"/>
        <w:numPr>
          <w:ilvl w:val="0"/>
          <w:numId w:val="4"/>
        </w:numPr>
        <w:rPr>
          <w:rFonts w:ascii="Calibri" w:hAnsi="Calibri"/>
          <w:color w:val="262626" w:themeColor="text1" w:themeTint="D9"/>
        </w:rPr>
      </w:pPr>
      <w:r w:rsidRPr="00F73C3A">
        <w:rPr>
          <w:rFonts w:ascii="Calibri" w:hAnsi="Calibri"/>
          <w:color w:val="262626" w:themeColor="text1" w:themeTint="D9"/>
        </w:rPr>
        <w:t>define the economic, commercial and dissemination objectives.</w:t>
      </w:r>
    </w:p>
    <w:p w:rsidR="00A400E5" w:rsidRPr="00F73C3A" w:rsidRDefault="00A400E5" w:rsidP="008B3673">
      <w:pPr>
        <w:rPr>
          <w:rFonts w:ascii="Calibri" w:hAnsi="Calibri"/>
          <w:color w:val="262626" w:themeColor="text1" w:themeTint="D9"/>
        </w:rPr>
      </w:pPr>
      <w:r w:rsidRPr="00F73C3A">
        <w:rPr>
          <w:rFonts w:ascii="Calibri" w:hAnsi="Calibri"/>
          <w:color w:val="262626" w:themeColor="text1" w:themeTint="D9"/>
        </w:rPr>
        <w:t>Development projects will shape the results of industrial research into a plan or design for a new, altered or improved product, process or service for commercial use, including creating an initial prototype which could not be used commercially. It does not include the routine or general changes made to products, production lines, manufacturing processes, existing services and other operations in progress, even if those changes may represent improvements.</w:t>
      </w:r>
    </w:p>
    <w:p w:rsidR="00A400E5" w:rsidRPr="00F73C3A" w:rsidRDefault="00E10158" w:rsidP="008B3673">
      <w:pPr>
        <w:rPr>
          <w:rFonts w:ascii="Calibri" w:hAnsi="Calibri"/>
          <w:color w:val="262626" w:themeColor="text1" w:themeTint="D9"/>
        </w:rPr>
      </w:pPr>
      <w:r w:rsidRPr="00F73C3A">
        <w:rPr>
          <w:rFonts w:ascii="Calibri" w:hAnsi="Calibri"/>
          <w:color w:val="262626" w:themeColor="text1" w:themeTint="D9"/>
        </w:rPr>
        <w:t>Development p</w:t>
      </w:r>
      <w:r w:rsidR="00A400E5" w:rsidRPr="00F73C3A">
        <w:rPr>
          <w:rFonts w:ascii="Calibri" w:hAnsi="Calibri"/>
          <w:color w:val="262626" w:themeColor="text1" w:themeTint="D9"/>
        </w:rPr>
        <w:t>rojects will aim to:</w:t>
      </w:r>
    </w:p>
    <w:p w:rsidR="00A400E5" w:rsidRPr="00F73C3A" w:rsidRDefault="00A400E5" w:rsidP="00F61707">
      <w:pPr>
        <w:pStyle w:val="ListParagraph"/>
        <w:numPr>
          <w:ilvl w:val="0"/>
          <w:numId w:val="5"/>
        </w:numPr>
        <w:rPr>
          <w:rFonts w:ascii="Calibri" w:hAnsi="Calibri"/>
          <w:color w:val="262626" w:themeColor="text1" w:themeTint="D9"/>
        </w:rPr>
      </w:pPr>
      <w:r w:rsidRPr="00F73C3A">
        <w:rPr>
          <w:rFonts w:ascii="Calibri" w:hAnsi="Calibri"/>
          <w:color w:val="262626" w:themeColor="text1" w:themeTint="D9"/>
        </w:rPr>
        <w:t>create a pre-production prototype (i.e. up to but not including industrial application and commercial exploitation, but including pilot and demonstration prototypes) or carry out</w:t>
      </w:r>
      <w:r w:rsidR="00450A22" w:rsidRPr="00F73C3A">
        <w:rPr>
          <w:rFonts w:ascii="Calibri" w:hAnsi="Calibri"/>
          <w:color w:val="262626" w:themeColor="text1" w:themeTint="D9"/>
        </w:rPr>
        <w:t xml:space="preserve"> Phase 0 trials</w:t>
      </w:r>
    </w:p>
    <w:p w:rsidR="00A400E5" w:rsidRPr="00F73C3A" w:rsidRDefault="00A400E5" w:rsidP="00F61707">
      <w:pPr>
        <w:pStyle w:val="ListParagraph"/>
        <w:numPr>
          <w:ilvl w:val="0"/>
          <w:numId w:val="5"/>
        </w:numPr>
        <w:rPr>
          <w:rFonts w:ascii="Calibri" w:hAnsi="Calibri"/>
          <w:color w:val="262626" w:themeColor="text1" w:themeTint="D9"/>
        </w:rPr>
      </w:pPr>
      <w:r w:rsidRPr="00F73C3A">
        <w:rPr>
          <w:rFonts w:ascii="Calibri" w:hAnsi="Calibri"/>
          <w:color w:val="262626" w:themeColor="text1" w:themeTint="D9"/>
        </w:rPr>
        <w:t>define the operational, technical, design and manufacturing aspects of the fi</w:t>
      </w:r>
      <w:r w:rsidR="00450A22" w:rsidRPr="00F73C3A">
        <w:rPr>
          <w:rFonts w:ascii="Calibri" w:hAnsi="Calibri"/>
          <w:color w:val="262626" w:themeColor="text1" w:themeTint="D9"/>
        </w:rPr>
        <w:t>nal product, process or service</w:t>
      </w:r>
    </w:p>
    <w:p w:rsidR="00A400E5" w:rsidRPr="00F73C3A" w:rsidRDefault="00A400E5" w:rsidP="00F61707">
      <w:pPr>
        <w:pStyle w:val="ListParagraph"/>
        <w:numPr>
          <w:ilvl w:val="0"/>
          <w:numId w:val="5"/>
        </w:numPr>
        <w:rPr>
          <w:rFonts w:ascii="Calibri" w:hAnsi="Calibri"/>
          <w:color w:val="262626" w:themeColor="text1" w:themeTint="D9"/>
        </w:rPr>
      </w:pPr>
      <w:r w:rsidRPr="00F73C3A">
        <w:rPr>
          <w:rFonts w:ascii="Calibri" w:hAnsi="Calibri"/>
          <w:color w:val="262626" w:themeColor="text1" w:themeTint="D9"/>
        </w:rPr>
        <w:t>consider the ownership or licensing of intellectual property arisin</w:t>
      </w:r>
      <w:r w:rsidR="00450A22" w:rsidRPr="00F73C3A">
        <w:rPr>
          <w:rFonts w:ascii="Calibri" w:hAnsi="Calibri"/>
          <w:color w:val="262626" w:themeColor="text1" w:themeTint="D9"/>
        </w:rPr>
        <w:t>g from or needed by the project</w:t>
      </w:r>
    </w:p>
    <w:p w:rsidR="00A400E5" w:rsidRPr="00F73C3A" w:rsidRDefault="00A400E5" w:rsidP="00F61707">
      <w:pPr>
        <w:pStyle w:val="ListParagraph"/>
        <w:numPr>
          <w:ilvl w:val="0"/>
          <w:numId w:val="5"/>
        </w:numPr>
        <w:rPr>
          <w:rFonts w:ascii="Calibri" w:hAnsi="Calibri"/>
          <w:color w:val="262626" w:themeColor="text1" w:themeTint="D9"/>
        </w:rPr>
      </w:pPr>
      <w:r w:rsidRPr="00F73C3A">
        <w:rPr>
          <w:rFonts w:ascii="Calibri" w:hAnsi="Calibri"/>
          <w:color w:val="262626" w:themeColor="text1" w:themeTint="D9"/>
        </w:rPr>
        <w:t xml:space="preserve">determine the prospective benefits, </w:t>
      </w:r>
      <w:r w:rsidR="00450A22" w:rsidRPr="00F73C3A">
        <w:rPr>
          <w:rFonts w:ascii="Calibri" w:hAnsi="Calibri"/>
          <w:color w:val="262626" w:themeColor="text1" w:themeTint="D9"/>
        </w:rPr>
        <w:t>including the potential outputs</w:t>
      </w:r>
    </w:p>
    <w:p w:rsidR="00A400E5" w:rsidRPr="00F73C3A" w:rsidRDefault="00A400E5" w:rsidP="00F61707">
      <w:pPr>
        <w:pStyle w:val="ListParagraph"/>
        <w:numPr>
          <w:ilvl w:val="0"/>
          <w:numId w:val="5"/>
        </w:numPr>
        <w:rPr>
          <w:rFonts w:ascii="Calibri" w:hAnsi="Calibri"/>
          <w:color w:val="262626" w:themeColor="text1" w:themeTint="D9"/>
        </w:rPr>
      </w:pPr>
      <w:r w:rsidRPr="00F73C3A">
        <w:rPr>
          <w:rFonts w:ascii="Calibri" w:hAnsi="Calibri"/>
          <w:color w:val="262626" w:themeColor="text1" w:themeTint="D9"/>
        </w:rPr>
        <w:t xml:space="preserve">determine the longer term </w:t>
      </w:r>
      <w:r w:rsidR="00450A22" w:rsidRPr="00F73C3A">
        <w:rPr>
          <w:rFonts w:ascii="Calibri" w:hAnsi="Calibri"/>
          <w:color w:val="262626" w:themeColor="text1" w:themeTint="D9"/>
        </w:rPr>
        <w:t>market effects and exploitation</w:t>
      </w:r>
    </w:p>
    <w:p w:rsidR="00A400E5" w:rsidRPr="00F73C3A" w:rsidRDefault="00A400E5" w:rsidP="00F61707">
      <w:pPr>
        <w:pStyle w:val="ListParagraph"/>
        <w:numPr>
          <w:ilvl w:val="0"/>
          <w:numId w:val="5"/>
        </w:numPr>
        <w:rPr>
          <w:rFonts w:ascii="Calibri" w:hAnsi="Calibri"/>
          <w:color w:val="262626" w:themeColor="text1" w:themeTint="D9"/>
        </w:rPr>
      </w:pPr>
      <w:r w:rsidRPr="00F73C3A">
        <w:rPr>
          <w:rFonts w:ascii="Calibri" w:hAnsi="Calibri"/>
          <w:color w:val="262626" w:themeColor="text1" w:themeTint="D9"/>
        </w:rPr>
        <w:t>set objectives and target dat</w:t>
      </w:r>
      <w:r w:rsidR="00450A22" w:rsidRPr="00F73C3A">
        <w:rPr>
          <w:rFonts w:ascii="Calibri" w:hAnsi="Calibri"/>
          <w:color w:val="262626" w:themeColor="text1" w:themeTint="D9"/>
        </w:rPr>
        <w:t>es for subsequent exploitation,</w:t>
      </w:r>
      <w:r w:rsidRPr="00F73C3A">
        <w:rPr>
          <w:rFonts w:ascii="Calibri" w:hAnsi="Calibri"/>
          <w:color w:val="262626" w:themeColor="text1" w:themeTint="D9"/>
        </w:rPr>
        <w:t xml:space="preserve"> and</w:t>
      </w:r>
    </w:p>
    <w:p w:rsidR="00A400E5" w:rsidRPr="00F73C3A" w:rsidRDefault="00A400E5" w:rsidP="00F61707">
      <w:pPr>
        <w:pStyle w:val="ListParagraph"/>
        <w:numPr>
          <w:ilvl w:val="0"/>
          <w:numId w:val="5"/>
        </w:numPr>
        <w:rPr>
          <w:rFonts w:ascii="Calibri" w:hAnsi="Calibri"/>
          <w:color w:val="262626" w:themeColor="text1" w:themeTint="D9"/>
        </w:rPr>
      </w:pPr>
      <w:r w:rsidRPr="00F73C3A">
        <w:rPr>
          <w:rFonts w:ascii="Calibri" w:hAnsi="Calibri"/>
          <w:color w:val="262626" w:themeColor="text1" w:themeTint="D9"/>
        </w:rPr>
        <w:lastRenderedPageBreak/>
        <w:t>define the economic, commercial and dissemination objectives for exploitation.</w:t>
      </w:r>
    </w:p>
    <w:p w:rsidR="000011CF" w:rsidRPr="00F73C3A" w:rsidRDefault="000011CF" w:rsidP="0002758E">
      <w:pPr>
        <w:pStyle w:val="Heading2"/>
        <w:rPr>
          <w:rFonts w:ascii="Calibri" w:hAnsi="Calibri"/>
          <w:color w:val="262626" w:themeColor="text1" w:themeTint="D9"/>
        </w:rPr>
      </w:pPr>
      <w:bookmarkStart w:id="24" w:name="_Toc349308465"/>
      <w:r w:rsidRPr="00F73C3A">
        <w:rPr>
          <w:rFonts w:ascii="Calibri" w:hAnsi="Calibri"/>
          <w:color w:val="262626" w:themeColor="text1" w:themeTint="D9"/>
        </w:rPr>
        <w:t>Eligible project costs</w:t>
      </w:r>
      <w:bookmarkEnd w:id="24"/>
    </w:p>
    <w:p w:rsidR="007F6686" w:rsidRPr="00F73C3A" w:rsidRDefault="00450A22" w:rsidP="003E6D0C">
      <w:pPr>
        <w:pStyle w:val="Heading3"/>
        <w:rPr>
          <w:rFonts w:ascii="Calibri" w:hAnsi="Calibri"/>
          <w:color w:val="262626" w:themeColor="text1" w:themeTint="D9"/>
        </w:rPr>
      </w:pPr>
      <w:bookmarkStart w:id="25" w:name="_Toc349307606"/>
      <w:bookmarkStart w:id="26" w:name="_Toc349307755"/>
      <w:bookmarkStart w:id="27" w:name="_Toc349308188"/>
      <w:bookmarkStart w:id="28" w:name="_Toc349308265"/>
      <w:bookmarkStart w:id="29" w:name="_Toc349308373"/>
      <w:bookmarkStart w:id="30" w:name="_Toc349308466"/>
      <w:r w:rsidRPr="00F73C3A">
        <w:rPr>
          <w:rFonts w:ascii="Calibri" w:hAnsi="Calibri"/>
          <w:color w:val="262626" w:themeColor="text1" w:themeTint="D9"/>
        </w:rPr>
        <w:t>Investment sup</w:t>
      </w:r>
      <w:r w:rsidR="007F6686" w:rsidRPr="00F73C3A">
        <w:rPr>
          <w:rFonts w:ascii="Calibri" w:hAnsi="Calibri"/>
          <w:color w:val="262626" w:themeColor="text1" w:themeTint="D9"/>
        </w:rPr>
        <w:t>port</w:t>
      </w:r>
      <w:bookmarkEnd w:id="25"/>
      <w:bookmarkEnd w:id="26"/>
      <w:bookmarkEnd w:id="27"/>
      <w:bookmarkEnd w:id="28"/>
      <w:bookmarkEnd w:id="29"/>
      <w:bookmarkEnd w:id="30"/>
    </w:p>
    <w:p w:rsidR="00055243" w:rsidRPr="00F73C3A" w:rsidRDefault="00612905" w:rsidP="0022534A">
      <w:pPr>
        <w:rPr>
          <w:rFonts w:ascii="Calibri" w:hAnsi="Calibri"/>
          <w:color w:val="262626" w:themeColor="text1" w:themeTint="D9"/>
        </w:rPr>
      </w:pPr>
      <w:r w:rsidRPr="00F73C3A">
        <w:rPr>
          <w:rFonts w:ascii="Calibri" w:hAnsi="Calibri"/>
          <w:color w:val="262626" w:themeColor="text1" w:themeTint="D9"/>
        </w:rPr>
        <w:t>Cumbria Growth Fund</w:t>
      </w:r>
      <w:r w:rsidR="007F6686" w:rsidRPr="00F73C3A">
        <w:rPr>
          <w:rFonts w:ascii="Calibri" w:hAnsi="Calibri"/>
          <w:color w:val="262626" w:themeColor="text1" w:themeTint="D9"/>
        </w:rPr>
        <w:t xml:space="preserve"> support</w:t>
      </w:r>
      <w:r w:rsidR="00B96E7A" w:rsidRPr="00F73C3A">
        <w:rPr>
          <w:rFonts w:ascii="Calibri" w:hAnsi="Calibri"/>
          <w:color w:val="262626" w:themeColor="text1" w:themeTint="D9"/>
        </w:rPr>
        <w:t xml:space="preserve"> to businesses</w:t>
      </w:r>
      <w:r w:rsidR="000011CF" w:rsidRPr="00F73C3A">
        <w:rPr>
          <w:rFonts w:ascii="Calibri" w:hAnsi="Calibri"/>
          <w:color w:val="262626" w:themeColor="text1" w:themeTint="D9"/>
        </w:rPr>
        <w:t xml:space="preserve"> operating in Assisted Areas and support to SMEs operating outside the Assisted Area</w:t>
      </w:r>
      <w:r w:rsidR="00A7502B" w:rsidRPr="00F73C3A">
        <w:rPr>
          <w:rFonts w:ascii="Calibri" w:hAnsi="Calibri"/>
          <w:color w:val="262626" w:themeColor="text1" w:themeTint="D9"/>
        </w:rPr>
        <w:t>s</w:t>
      </w:r>
      <w:r w:rsidR="000011CF" w:rsidRPr="00F73C3A">
        <w:rPr>
          <w:rFonts w:ascii="Calibri" w:hAnsi="Calibri"/>
          <w:color w:val="262626" w:themeColor="text1" w:themeTint="D9"/>
        </w:rPr>
        <w:t xml:space="preserve"> are both considered to be investment aid schemes by the Commission. In order to be considered an eligible cost for the purposes of </w:t>
      </w:r>
      <w:r w:rsidRPr="00F73C3A">
        <w:rPr>
          <w:rFonts w:ascii="Calibri" w:hAnsi="Calibri"/>
          <w:color w:val="262626" w:themeColor="text1" w:themeTint="D9"/>
        </w:rPr>
        <w:t>Cumbria Growth Fund</w:t>
      </w:r>
      <w:r w:rsidR="000011CF" w:rsidRPr="00F73C3A">
        <w:rPr>
          <w:rFonts w:ascii="Calibri" w:hAnsi="Calibri"/>
          <w:color w:val="262626" w:themeColor="text1" w:themeTint="D9"/>
        </w:rPr>
        <w:t xml:space="preserve">, investments shall consist of </w:t>
      </w:r>
      <w:r w:rsidR="00B96E7A" w:rsidRPr="00F73C3A">
        <w:rPr>
          <w:rFonts w:ascii="Calibri" w:hAnsi="Calibri"/>
          <w:color w:val="262626" w:themeColor="text1" w:themeTint="D9"/>
        </w:rPr>
        <w:t xml:space="preserve">one or more of </w:t>
      </w:r>
      <w:r w:rsidR="000011CF" w:rsidRPr="00F73C3A">
        <w:rPr>
          <w:rFonts w:ascii="Calibri" w:hAnsi="Calibri"/>
          <w:color w:val="262626" w:themeColor="text1" w:themeTint="D9"/>
        </w:rPr>
        <w:t xml:space="preserve">the following: </w:t>
      </w:r>
    </w:p>
    <w:p w:rsidR="0022534A" w:rsidRPr="00F73C3A" w:rsidRDefault="00265D1B" w:rsidP="00F61707">
      <w:pPr>
        <w:pStyle w:val="ListParagraph"/>
        <w:numPr>
          <w:ilvl w:val="0"/>
          <w:numId w:val="41"/>
        </w:numPr>
        <w:ind w:left="720"/>
        <w:rPr>
          <w:rFonts w:ascii="Calibri" w:hAnsi="Calibri"/>
          <w:color w:val="262626" w:themeColor="text1" w:themeTint="D9"/>
        </w:rPr>
      </w:pPr>
      <w:r w:rsidRPr="00F73C3A">
        <w:rPr>
          <w:rFonts w:ascii="Calibri" w:hAnsi="Calibri"/>
          <w:color w:val="262626" w:themeColor="text1" w:themeTint="D9"/>
        </w:rPr>
        <w:t xml:space="preserve">an </w:t>
      </w:r>
      <w:r w:rsidR="0022534A" w:rsidRPr="00F73C3A">
        <w:rPr>
          <w:rFonts w:ascii="Calibri" w:hAnsi="Calibri"/>
          <w:color w:val="262626" w:themeColor="text1" w:themeTint="D9"/>
        </w:rPr>
        <w:t>investment in tangible and/or intangible assets relating to the setting-up of a new establishment, the extension of the capacity of an existing establishment, diversification of the output of an establishment into products not previously produced in the establishment or a fundamental change in the overall production process o</w:t>
      </w:r>
      <w:r w:rsidR="00B96E7A" w:rsidRPr="00F73C3A">
        <w:rPr>
          <w:rFonts w:ascii="Calibri" w:hAnsi="Calibri"/>
          <w:color w:val="262626" w:themeColor="text1" w:themeTint="D9"/>
        </w:rPr>
        <w:t>f an existing establishment</w:t>
      </w:r>
    </w:p>
    <w:p w:rsidR="0022534A" w:rsidRPr="00F73C3A" w:rsidRDefault="0022534A" w:rsidP="00F61707">
      <w:pPr>
        <w:pStyle w:val="ListParagraph"/>
        <w:numPr>
          <w:ilvl w:val="0"/>
          <w:numId w:val="41"/>
        </w:numPr>
        <w:ind w:left="720"/>
        <w:rPr>
          <w:rFonts w:ascii="Calibri" w:hAnsi="Calibri"/>
          <w:color w:val="262626" w:themeColor="text1" w:themeTint="D9"/>
        </w:rPr>
      </w:pPr>
      <w:r w:rsidRPr="00F73C3A">
        <w:rPr>
          <w:rFonts w:ascii="Calibri" w:hAnsi="Calibri"/>
          <w:color w:val="262626" w:themeColor="text1" w:themeTint="D9"/>
        </w:rPr>
        <w:t>an acquisition of assets belonging to an establishment that has closed or would have closed had it not been purchased, and is bought by an investor unrelated to the seller and excludes sole acquisition of the shares of an undertaking. Where a member of the family of the original owner, of an emplo</w:t>
      </w:r>
      <w:r w:rsidR="00A7502B" w:rsidRPr="00F73C3A">
        <w:rPr>
          <w:rFonts w:ascii="Calibri" w:hAnsi="Calibri"/>
          <w:color w:val="262626" w:themeColor="text1" w:themeTint="D9"/>
        </w:rPr>
        <w:t>yee, takes over a small enterpri</w:t>
      </w:r>
      <w:r w:rsidRPr="00F73C3A">
        <w:rPr>
          <w:rFonts w:ascii="Calibri" w:hAnsi="Calibri"/>
          <w:color w:val="262626" w:themeColor="text1" w:themeTint="D9"/>
        </w:rPr>
        <w:t xml:space="preserve">se, the condition that the assets be bought from third parties unrelated </w:t>
      </w:r>
      <w:r w:rsidR="00B96E7A" w:rsidRPr="00F73C3A">
        <w:rPr>
          <w:rFonts w:ascii="Calibri" w:hAnsi="Calibri"/>
          <w:color w:val="262626" w:themeColor="text1" w:themeTint="D9"/>
        </w:rPr>
        <w:t>to the buyer shall be waived</w:t>
      </w:r>
    </w:p>
    <w:p w:rsidR="0022534A" w:rsidRPr="00F73C3A" w:rsidRDefault="0022534A" w:rsidP="00F61707">
      <w:pPr>
        <w:pStyle w:val="ListParagraph"/>
        <w:numPr>
          <w:ilvl w:val="0"/>
          <w:numId w:val="41"/>
        </w:numPr>
        <w:ind w:left="720"/>
        <w:rPr>
          <w:rFonts w:ascii="Calibri" w:hAnsi="Calibri"/>
          <w:color w:val="262626" w:themeColor="text1" w:themeTint="D9"/>
        </w:rPr>
      </w:pPr>
      <w:r w:rsidRPr="00F73C3A">
        <w:rPr>
          <w:rFonts w:ascii="Calibri" w:hAnsi="Calibri"/>
          <w:color w:val="262626" w:themeColor="text1" w:themeTint="D9"/>
        </w:rPr>
        <w:t xml:space="preserve">wage costs </w:t>
      </w:r>
      <w:r w:rsidR="0043018E" w:rsidRPr="00F73C3A">
        <w:rPr>
          <w:rFonts w:ascii="Calibri" w:hAnsi="Calibri"/>
          <w:color w:val="262626" w:themeColor="text1" w:themeTint="D9"/>
        </w:rPr>
        <w:t>arising from jobs created</w:t>
      </w:r>
      <w:r w:rsidRPr="00F73C3A">
        <w:rPr>
          <w:rFonts w:ascii="Calibri" w:hAnsi="Calibri"/>
          <w:color w:val="262626" w:themeColor="text1" w:themeTint="D9"/>
        </w:rPr>
        <w:t xml:space="preserve"> as a result of an initial investment, calculated over a period of two years.</w:t>
      </w:r>
    </w:p>
    <w:p w:rsidR="0022534A" w:rsidRPr="00F73C3A" w:rsidRDefault="0022534A" w:rsidP="00265D1B">
      <w:pPr>
        <w:pStyle w:val="Heading4"/>
        <w:rPr>
          <w:rFonts w:ascii="Calibri" w:hAnsi="Calibri"/>
          <w:color w:val="262626" w:themeColor="text1" w:themeTint="D9"/>
        </w:rPr>
      </w:pPr>
      <w:r w:rsidRPr="00F73C3A">
        <w:rPr>
          <w:rFonts w:ascii="Calibri" w:hAnsi="Calibri"/>
          <w:color w:val="262626" w:themeColor="text1" w:themeTint="D9"/>
        </w:rPr>
        <w:t>Notwithstanding the above, large companies can only receive investment support if they are based in an Assisted Area and the project relates to the initial investment in favour of new economic activity in the area concerned. New economic activity is defined in Annex A</w:t>
      </w:r>
      <w:r w:rsidR="0043018E" w:rsidRPr="00F73C3A">
        <w:rPr>
          <w:rFonts w:ascii="Calibri" w:hAnsi="Calibri"/>
          <w:color w:val="262626" w:themeColor="text1" w:themeTint="D9"/>
        </w:rPr>
        <w:t xml:space="preserve"> and a </w:t>
      </w:r>
      <w:r w:rsidR="00FC02A8" w:rsidRPr="00F73C3A">
        <w:rPr>
          <w:rFonts w:ascii="Calibri" w:hAnsi="Calibri"/>
          <w:color w:val="262626" w:themeColor="text1" w:themeTint="D9"/>
        </w:rPr>
        <w:t>flowchart is included at Annex E</w:t>
      </w:r>
      <w:r w:rsidRPr="00F73C3A">
        <w:rPr>
          <w:rFonts w:ascii="Calibri" w:hAnsi="Calibri"/>
          <w:color w:val="262626" w:themeColor="text1" w:themeTint="D9"/>
        </w:rPr>
        <w:t xml:space="preserve">. For the purposes of </w:t>
      </w:r>
      <w:r w:rsidR="00612905" w:rsidRPr="00F73C3A">
        <w:rPr>
          <w:rFonts w:ascii="Calibri" w:hAnsi="Calibri"/>
          <w:color w:val="262626" w:themeColor="text1" w:themeTint="D9"/>
        </w:rPr>
        <w:t>Cumbria Growth Fund</w:t>
      </w:r>
      <w:r w:rsidRPr="00F73C3A">
        <w:rPr>
          <w:rFonts w:ascii="Calibri" w:hAnsi="Calibri"/>
          <w:color w:val="262626" w:themeColor="text1" w:themeTint="D9"/>
        </w:rPr>
        <w:t>, the area</w:t>
      </w:r>
      <w:r w:rsidR="00B96E7A" w:rsidRPr="00F73C3A">
        <w:rPr>
          <w:rFonts w:ascii="Calibri" w:hAnsi="Calibri"/>
          <w:color w:val="262626" w:themeColor="text1" w:themeTint="D9"/>
        </w:rPr>
        <w:t xml:space="preserve"> concerned is </w:t>
      </w:r>
      <w:r w:rsidR="00612905" w:rsidRPr="00F73C3A">
        <w:rPr>
          <w:rFonts w:ascii="Calibri" w:hAnsi="Calibri"/>
          <w:color w:val="262626" w:themeColor="text1" w:themeTint="D9"/>
        </w:rPr>
        <w:t>Cumbria</w:t>
      </w:r>
      <w:r w:rsidRPr="00F73C3A">
        <w:rPr>
          <w:rFonts w:ascii="Calibri" w:hAnsi="Calibri"/>
          <w:color w:val="262626" w:themeColor="text1" w:themeTint="D9"/>
        </w:rPr>
        <w:t>.</w:t>
      </w:r>
    </w:p>
    <w:p w:rsidR="00B96E7A" w:rsidRPr="00F73C3A" w:rsidRDefault="00B96E7A">
      <w:pPr>
        <w:rPr>
          <w:rFonts w:ascii="Calibri" w:hAnsi="Calibri"/>
          <w:color w:val="262626" w:themeColor="text1" w:themeTint="D9"/>
          <w:lang w:val="en-US"/>
        </w:rPr>
      </w:pPr>
    </w:p>
    <w:p w:rsidR="009B49C2" w:rsidRPr="00F73C3A" w:rsidRDefault="002466B1">
      <w:pPr>
        <w:rPr>
          <w:rFonts w:ascii="Calibri" w:hAnsi="Calibri"/>
          <w:color w:val="262626" w:themeColor="text1" w:themeTint="D9"/>
          <w:lang w:val="en-US"/>
        </w:rPr>
      </w:pPr>
      <w:r w:rsidRPr="00F73C3A">
        <w:rPr>
          <w:rFonts w:ascii="Calibri" w:hAnsi="Calibri"/>
          <w:color w:val="262626" w:themeColor="text1" w:themeTint="D9"/>
          <w:lang w:val="en-US"/>
        </w:rPr>
        <w:t xml:space="preserve">Regional Investment </w:t>
      </w:r>
      <w:r w:rsidR="001C7680" w:rsidRPr="00F73C3A">
        <w:rPr>
          <w:rFonts w:ascii="Calibri" w:hAnsi="Calibri"/>
          <w:color w:val="262626" w:themeColor="text1" w:themeTint="D9"/>
          <w:lang w:val="en-US"/>
        </w:rPr>
        <w:t xml:space="preserve">Aid cannot be provided to a beneficiary (at the group level) which has closed down the same or a similar activity in the European Economic Area in the two years preceding its application for </w:t>
      </w:r>
      <w:r w:rsidR="00612905" w:rsidRPr="00F73C3A">
        <w:rPr>
          <w:rFonts w:ascii="Calibri" w:hAnsi="Calibri"/>
          <w:color w:val="262626" w:themeColor="text1" w:themeTint="D9"/>
          <w:lang w:val="en-US"/>
        </w:rPr>
        <w:t>Cumbria Growth Fund</w:t>
      </w:r>
      <w:r w:rsidR="001C7680" w:rsidRPr="00F73C3A">
        <w:rPr>
          <w:rFonts w:ascii="Calibri" w:hAnsi="Calibri"/>
          <w:color w:val="262626" w:themeColor="text1" w:themeTint="D9"/>
          <w:lang w:val="en-US"/>
        </w:rPr>
        <w:t xml:space="preserve"> or which, at the time of the application, has concrete plans to close down such an activity within a period of up to two years after the initial investment</w:t>
      </w:r>
      <w:r w:rsidR="00781288" w:rsidRPr="00F73C3A">
        <w:rPr>
          <w:rFonts w:ascii="Calibri" w:hAnsi="Calibri"/>
          <w:color w:val="262626" w:themeColor="text1" w:themeTint="D9"/>
          <w:lang w:val="en-US"/>
        </w:rPr>
        <w:t xml:space="preserve"> for which</w:t>
      </w:r>
      <w:r w:rsidR="00B96E7A" w:rsidRPr="00F73C3A">
        <w:rPr>
          <w:rFonts w:ascii="Calibri" w:hAnsi="Calibri"/>
          <w:color w:val="262626" w:themeColor="text1" w:themeTint="D9"/>
          <w:lang w:val="en-US"/>
        </w:rPr>
        <w:t xml:space="preserve"> the</w:t>
      </w:r>
      <w:r w:rsidR="00781288" w:rsidRPr="00F73C3A">
        <w:rPr>
          <w:rFonts w:ascii="Calibri" w:hAnsi="Calibri"/>
          <w:color w:val="262626" w:themeColor="text1" w:themeTint="D9"/>
          <w:lang w:val="en-US"/>
        </w:rPr>
        <w:t xml:space="preserve"> grant is requested</w:t>
      </w:r>
      <w:r w:rsidR="001C7680" w:rsidRPr="00F73C3A">
        <w:rPr>
          <w:rFonts w:ascii="Calibri" w:hAnsi="Calibri"/>
          <w:color w:val="262626" w:themeColor="text1" w:themeTint="D9"/>
          <w:lang w:val="en-US"/>
        </w:rPr>
        <w:t xml:space="preserve"> is completed</w:t>
      </w:r>
      <w:r w:rsidR="00781288" w:rsidRPr="00F73C3A">
        <w:rPr>
          <w:rFonts w:ascii="Calibri" w:hAnsi="Calibri"/>
          <w:color w:val="262626" w:themeColor="text1" w:themeTint="D9"/>
          <w:lang w:val="en-US"/>
        </w:rPr>
        <w:t>.</w:t>
      </w:r>
    </w:p>
    <w:p w:rsidR="000011CF" w:rsidRPr="00F73C3A" w:rsidRDefault="00B96E7A" w:rsidP="003E6D0C">
      <w:pPr>
        <w:rPr>
          <w:rFonts w:ascii="Calibri" w:hAnsi="Calibri"/>
          <w:color w:val="262626" w:themeColor="text1" w:themeTint="D9"/>
        </w:rPr>
      </w:pPr>
      <w:r w:rsidRPr="00F73C3A">
        <w:rPr>
          <w:rFonts w:ascii="Calibri" w:hAnsi="Calibri"/>
          <w:color w:val="262626" w:themeColor="text1" w:themeTint="D9"/>
          <w:lang w:val="en-US"/>
        </w:rPr>
        <w:t>For relocation projects</w:t>
      </w:r>
      <w:r w:rsidR="00BA1B8C" w:rsidRPr="00F73C3A">
        <w:rPr>
          <w:rFonts w:ascii="Calibri" w:hAnsi="Calibri"/>
          <w:color w:val="262626" w:themeColor="text1" w:themeTint="D9"/>
          <w:lang w:val="en-US"/>
        </w:rPr>
        <w:t xml:space="preserve"> only the expansion element of any capital costs will be eligible</w:t>
      </w:r>
      <w:r w:rsidR="00FC3D73" w:rsidRPr="00F73C3A">
        <w:rPr>
          <w:rFonts w:ascii="Calibri" w:hAnsi="Calibri"/>
          <w:color w:val="262626" w:themeColor="text1" w:themeTint="D9"/>
          <w:lang w:val="en-US"/>
        </w:rPr>
        <w:t>.</w:t>
      </w:r>
      <w:r w:rsidR="00265D1B" w:rsidRPr="00F73C3A">
        <w:rPr>
          <w:rFonts w:ascii="Calibri" w:hAnsi="Calibri"/>
          <w:color w:val="262626" w:themeColor="text1" w:themeTint="D9"/>
          <w:lang w:val="en-US"/>
        </w:rPr>
        <w:t xml:space="preserve"> </w:t>
      </w:r>
      <w:r w:rsidR="00612905" w:rsidRPr="00F73C3A">
        <w:rPr>
          <w:rFonts w:ascii="Calibri" w:hAnsi="Calibri"/>
          <w:color w:val="262626" w:themeColor="text1" w:themeTint="D9"/>
        </w:rPr>
        <w:t>Cumbria Growth Fund</w:t>
      </w:r>
      <w:r w:rsidR="000011CF" w:rsidRPr="00F73C3A">
        <w:rPr>
          <w:rFonts w:ascii="Calibri" w:hAnsi="Calibri"/>
          <w:color w:val="262626" w:themeColor="text1" w:themeTint="D9"/>
        </w:rPr>
        <w:t xml:space="preserve"> assistance can be provided for the purchase of the assets or, if </w:t>
      </w:r>
      <w:r w:rsidR="00460BAC" w:rsidRPr="00F73C3A">
        <w:rPr>
          <w:rFonts w:ascii="Calibri" w:hAnsi="Calibri"/>
          <w:color w:val="262626" w:themeColor="text1" w:themeTint="D9"/>
        </w:rPr>
        <w:t>a</w:t>
      </w:r>
      <w:r w:rsidR="000011CF" w:rsidRPr="00F73C3A">
        <w:rPr>
          <w:rFonts w:ascii="Calibri" w:hAnsi="Calibri"/>
          <w:color w:val="262626" w:themeColor="text1" w:themeTint="D9"/>
        </w:rPr>
        <w:t>ppropriate, the business of another company in receivership or liquidation where it is clear that there is only one realistic bidder. Such assistance can also be provided if there is a clear and imminent threat</w:t>
      </w:r>
      <w:r w:rsidRPr="00F73C3A">
        <w:rPr>
          <w:rFonts w:ascii="Calibri" w:hAnsi="Calibri"/>
          <w:color w:val="262626" w:themeColor="text1" w:themeTint="D9"/>
        </w:rPr>
        <w:t xml:space="preserve"> to employment even if the business </w:t>
      </w:r>
      <w:r w:rsidR="000011CF" w:rsidRPr="00F73C3A">
        <w:rPr>
          <w:rFonts w:ascii="Calibri" w:hAnsi="Calibri"/>
          <w:color w:val="262626" w:themeColor="text1" w:themeTint="D9"/>
        </w:rPr>
        <w:t>in question is not in receivership or liquidation. These circumstances apart, assistance should not be provided to one company in order that it might take over another company.</w:t>
      </w:r>
    </w:p>
    <w:p w:rsidR="000011CF" w:rsidRPr="00F73C3A" w:rsidRDefault="00D51454" w:rsidP="00B3076A">
      <w:pPr>
        <w:pStyle w:val="Heading4"/>
        <w:rPr>
          <w:rFonts w:ascii="Calibri" w:hAnsi="Calibri"/>
          <w:color w:val="262626" w:themeColor="text1" w:themeTint="D9"/>
        </w:rPr>
      </w:pPr>
      <w:bookmarkStart w:id="31" w:name="SECTION00327100000000000000"/>
      <w:r w:rsidRPr="00F73C3A">
        <w:rPr>
          <w:rFonts w:ascii="Calibri" w:hAnsi="Calibri"/>
          <w:color w:val="262626" w:themeColor="text1" w:themeTint="D9"/>
        </w:rPr>
        <w:t>E</w:t>
      </w:r>
      <w:r w:rsidR="000011CF" w:rsidRPr="00F73C3A">
        <w:rPr>
          <w:rFonts w:ascii="Calibri" w:hAnsi="Calibri"/>
          <w:color w:val="262626" w:themeColor="text1" w:themeTint="D9"/>
        </w:rPr>
        <w:t>xpenditure associated with tangible and intangible assets</w:t>
      </w:r>
      <w:bookmarkEnd w:id="31"/>
      <w:r w:rsidR="000011CF" w:rsidRPr="00F73C3A">
        <w:rPr>
          <w:rFonts w:ascii="Calibri" w:hAnsi="Calibri"/>
          <w:color w:val="262626" w:themeColor="text1" w:themeTint="D9"/>
        </w:rPr>
        <w:t xml:space="preserve"> </w:t>
      </w:r>
    </w:p>
    <w:p w:rsidR="000011CF" w:rsidRPr="00F73C3A" w:rsidRDefault="000011CF" w:rsidP="00055243">
      <w:pPr>
        <w:rPr>
          <w:rFonts w:ascii="Calibri" w:hAnsi="Calibri"/>
          <w:color w:val="262626" w:themeColor="text1" w:themeTint="D9"/>
        </w:rPr>
      </w:pPr>
      <w:bookmarkStart w:id="32" w:name="595"/>
      <w:bookmarkStart w:id="33" w:name="596"/>
      <w:bookmarkStart w:id="34" w:name="p_assets"/>
      <w:bookmarkEnd w:id="32"/>
      <w:bookmarkEnd w:id="33"/>
      <w:bookmarkEnd w:id="34"/>
      <w:r w:rsidRPr="00F73C3A">
        <w:rPr>
          <w:rFonts w:ascii="Calibri" w:hAnsi="Calibri"/>
          <w:color w:val="262626" w:themeColor="text1" w:themeTint="D9"/>
        </w:rPr>
        <w:t xml:space="preserve">In order to be considered eligible costs for the purposes of </w:t>
      </w:r>
      <w:r w:rsidR="00612905" w:rsidRPr="00F73C3A">
        <w:rPr>
          <w:rFonts w:ascii="Calibri" w:hAnsi="Calibri"/>
          <w:color w:val="262626" w:themeColor="text1" w:themeTint="D9"/>
        </w:rPr>
        <w:t>Cumbria Growth Fund</w:t>
      </w:r>
      <w:r w:rsidRPr="00F73C3A">
        <w:rPr>
          <w:rFonts w:ascii="Calibri" w:hAnsi="Calibri"/>
          <w:color w:val="262626" w:themeColor="text1" w:themeTint="D9"/>
        </w:rPr>
        <w:t xml:space="preserve"> tangible or intangible assets must be purchased from third parties under market conditions, without the acquirer being in a position to exercise control, within the meaning of Article 3 of Council Regulation (EC) No 139/2004 on the control of concentrations between undertakings (the E</w:t>
      </w:r>
      <w:r w:rsidR="00E10158" w:rsidRPr="00F73C3A">
        <w:rPr>
          <w:rFonts w:ascii="Calibri" w:hAnsi="Calibri"/>
          <w:color w:val="262626" w:themeColor="text1" w:themeTint="D9"/>
        </w:rPr>
        <w:t>C merger Regulation, see Annex </w:t>
      </w:r>
      <w:r w:rsidRPr="00F73C3A">
        <w:rPr>
          <w:rFonts w:ascii="Calibri" w:hAnsi="Calibri"/>
          <w:color w:val="262626" w:themeColor="text1" w:themeTint="D9"/>
        </w:rPr>
        <w:t>A)</w:t>
      </w:r>
      <w:r w:rsidR="00781288" w:rsidRPr="00F73C3A">
        <w:rPr>
          <w:rFonts w:ascii="Calibri" w:hAnsi="Calibri"/>
          <w:color w:val="262626" w:themeColor="text1" w:themeTint="D9"/>
        </w:rPr>
        <w:t xml:space="preserve"> </w:t>
      </w:r>
      <w:r w:rsidRPr="00F73C3A">
        <w:rPr>
          <w:rFonts w:ascii="Calibri" w:hAnsi="Calibri"/>
          <w:color w:val="262626" w:themeColor="text1" w:themeTint="D9"/>
        </w:rPr>
        <w:t xml:space="preserve">on the seller or vice versa. </w:t>
      </w:r>
      <w:r w:rsidR="00E10158" w:rsidRPr="00F73C3A">
        <w:rPr>
          <w:rFonts w:ascii="Calibri" w:hAnsi="Calibri"/>
          <w:color w:val="262626" w:themeColor="text1" w:themeTint="D9"/>
        </w:rPr>
        <w:t>Self-built</w:t>
      </w:r>
      <w:r w:rsidRPr="00F73C3A">
        <w:rPr>
          <w:rFonts w:ascii="Calibri" w:hAnsi="Calibri"/>
          <w:color w:val="262626" w:themeColor="text1" w:themeTint="D9"/>
        </w:rPr>
        <w:t xml:space="preserve"> assets, or newly built assets acquired from other companies within the same group are considered to fulfil the conditions of this paragraph if the assets are independently valued. </w:t>
      </w:r>
    </w:p>
    <w:p w:rsidR="009B49C2" w:rsidRPr="00F73C3A" w:rsidRDefault="00C517DB" w:rsidP="00055243">
      <w:pPr>
        <w:rPr>
          <w:rFonts w:ascii="Calibri" w:hAnsi="Calibri"/>
          <w:color w:val="262626" w:themeColor="text1" w:themeTint="D9"/>
        </w:rPr>
      </w:pPr>
      <w:r w:rsidRPr="00F73C3A">
        <w:rPr>
          <w:rFonts w:ascii="Calibri" w:hAnsi="Calibri"/>
          <w:color w:val="262626" w:themeColor="text1" w:themeTint="D9"/>
        </w:rPr>
        <w:t xml:space="preserve">For </w:t>
      </w:r>
      <w:r w:rsidR="002466B1" w:rsidRPr="00F73C3A">
        <w:rPr>
          <w:rFonts w:ascii="Calibri" w:hAnsi="Calibri"/>
          <w:color w:val="262626" w:themeColor="text1" w:themeTint="D9"/>
        </w:rPr>
        <w:t xml:space="preserve">Regional Investment Aid </w:t>
      </w:r>
      <w:r w:rsidR="00781288" w:rsidRPr="00F73C3A">
        <w:rPr>
          <w:rFonts w:ascii="Calibri" w:hAnsi="Calibri"/>
          <w:color w:val="262626" w:themeColor="text1" w:themeTint="D9"/>
        </w:rPr>
        <w:t>projects relating to a fundamental change in the production process, the eligible costs must exceed the depreciation of the assets linked to the activity to be modernised in the course of the preceding three fiscal years.</w:t>
      </w:r>
    </w:p>
    <w:p w:rsidR="00FF6C67" w:rsidRPr="00F73C3A" w:rsidRDefault="00781288" w:rsidP="00055243">
      <w:pPr>
        <w:rPr>
          <w:rFonts w:ascii="Calibri" w:hAnsi="Calibri"/>
          <w:color w:val="262626" w:themeColor="text1" w:themeTint="D9"/>
        </w:rPr>
      </w:pPr>
      <w:r w:rsidRPr="00F73C3A">
        <w:rPr>
          <w:rFonts w:ascii="Calibri" w:hAnsi="Calibri"/>
          <w:color w:val="262626" w:themeColor="text1" w:themeTint="D9"/>
        </w:rPr>
        <w:t xml:space="preserve">For </w:t>
      </w:r>
      <w:r w:rsidR="002466B1" w:rsidRPr="00F73C3A">
        <w:rPr>
          <w:rFonts w:ascii="Calibri" w:hAnsi="Calibri"/>
          <w:color w:val="262626" w:themeColor="text1" w:themeTint="D9"/>
        </w:rPr>
        <w:t xml:space="preserve">Regional Investment Aid </w:t>
      </w:r>
      <w:r w:rsidRPr="00F73C3A">
        <w:rPr>
          <w:rFonts w:ascii="Calibri" w:hAnsi="Calibri"/>
          <w:color w:val="262626" w:themeColor="text1" w:themeTint="D9"/>
        </w:rPr>
        <w:t>projects relating to the diversification of an existing establishment, the eligible costs must exceed by at least 200% the book valu</w:t>
      </w:r>
      <w:r w:rsidR="00B96E7A" w:rsidRPr="00F73C3A">
        <w:rPr>
          <w:rFonts w:ascii="Calibri" w:hAnsi="Calibri"/>
          <w:color w:val="262626" w:themeColor="text1" w:themeTint="D9"/>
        </w:rPr>
        <w:t>e of the assets that are reused</w:t>
      </w:r>
      <w:r w:rsidRPr="00F73C3A">
        <w:rPr>
          <w:rFonts w:ascii="Calibri" w:hAnsi="Calibri"/>
          <w:color w:val="262626" w:themeColor="text1" w:themeTint="D9"/>
        </w:rPr>
        <w:t xml:space="preserve"> as registered in the fiscal year preceding the start of works.</w:t>
      </w:r>
    </w:p>
    <w:p w:rsidR="000011CF" w:rsidRPr="00F73C3A" w:rsidRDefault="000011CF" w:rsidP="00055243">
      <w:pPr>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 xml:space="preserve">In the case of </w:t>
      </w:r>
      <w:r w:rsidR="004F5EB9" w:rsidRPr="00F73C3A">
        <w:rPr>
          <w:rFonts w:ascii="Calibri" w:hAnsi="Calibri" w:cs="Arial"/>
          <w:color w:val="262626" w:themeColor="text1" w:themeTint="D9"/>
          <w:szCs w:val="20"/>
          <w:lang w:val="en-US"/>
        </w:rPr>
        <w:t xml:space="preserve">the </w:t>
      </w:r>
      <w:r w:rsidRPr="00F73C3A">
        <w:rPr>
          <w:rFonts w:ascii="Calibri" w:hAnsi="Calibri" w:cs="Arial"/>
          <w:color w:val="262626" w:themeColor="text1" w:themeTint="D9"/>
          <w:szCs w:val="20"/>
          <w:lang w:val="en-US"/>
        </w:rPr>
        <w:t xml:space="preserve">acquisition of an establishment, only the costs of buying assets from third parties shall be taken into consideration, and only where the transaction has taken place under market conditions. Where the acquisition is accompanied by other investment, the costs relating to the latter shall be added to the cost of the purchase. </w:t>
      </w:r>
      <w:r w:rsidR="001C7680" w:rsidRPr="00F73C3A">
        <w:rPr>
          <w:rFonts w:ascii="Calibri" w:hAnsi="Calibri" w:cs="Arial"/>
          <w:color w:val="262626" w:themeColor="text1" w:themeTint="D9"/>
          <w:szCs w:val="20"/>
          <w:lang w:val="en-US"/>
        </w:rPr>
        <w:t xml:space="preserve">If aid has </w:t>
      </w:r>
      <w:r w:rsidR="001C7680" w:rsidRPr="00F73C3A">
        <w:rPr>
          <w:rFonts w:ascii="Calibri" w:hAnsi="Calibri" w:cs="Arial"/>
          <w:color w:val="262626" w:themeColor="text1" w:themeTint="D9"/>
          <w:szCs w:val="20"/>
          <w:lang w:val="en-US"/>
        </w:rPr>
        <w:lastRenderedPageBreak/>
        <w:t>been granted for the acquisition of assets prior to their purchase, the costs of those assets shall be deducted from the eligible costs related to the acquisition of the establishment.</w:t>
      </w:r>
    </w:p>
    <w:p w:rsidR="000011CF" w:rsidRPr="00F73C3A" w:rsidRDefault="000011CF" w:rsidP="00055243">
      <w:pPr>
        <w:rPr>
          <w:rFonts w:ascii="Calibri" w:hAnsi="Calibri" w:cs="Arial"/>
          <w:color w:val="262626" w:themeColor="text1" w:themeTint="D9"/>
          <w:szCs w:val="20"/>
          <w:lang w:val="en-US"/>
        </w:rPr>
      </w:pPr>
      <w:bookmarkStart w:id="35" w:name="655"/>
      <w:bookmarkStart w:id="36" w:name="para_lease"/>
      <w:bookmarkEnd w:id="35"/>
      <w:bookmarkEnd w:id="36"/>
      <w:r w:rsidRPr="00F73C3A">
        <w:rPr>
          <w:rFonts w:ascii="Calibri" w:hAnsi="Calibri" w:cs="Arial"/>
          <w:color w:val="262626" w:themeColor="text1" w:themeTint="D9"/>
          <w:szCs w:val="20"/>
          <w:lang w:val="en-US"/>
        </w:rPr>
        <w:t>Costs related to the acquisition of assets under lease, other than land and buildings, shall only be taken into consideration if the lease takes the form of financial leasing and contains an obligation to purchase the asset at the expiry of the term of the lease. For clarity, H</w:t>
      </w:r>
      <w:r w:rsidR="00D51454" w:rsidRPr="00F73C3A">
        <w:rPr>
          <w:rFonts w:ascii="Calibri" w:hAnsi="Calibri" w:cs="Arial"/>
          <w:color w:val="262626" w:themeColor="text1" w:themeTint="D9"/>
          <w:szCs w:val="20"/>
          <w:lang w:val="en-US"/>
        </w:rPr>
        <w:t xml:space="preserve">ire </w:t>
      </w:r>
      <w:r w:rsidRPr="00F73C3A">
        <w:rPr>
          <w:rFonts w:ascii="Calibri" w:hAnsi="Calibri" w:cs="Arial"/>
          <w:color w:val="262626" w:themeColor="text1" w:themeTint="D9"/>
          <w:szCs w:val="20"/>
          <w:lang w:val="en-US"/>
        </w:rPr>
        <w:t>P</w:t>
      </w:r>
      <w:r w:rsidR="00D51454" w:rsidRPr="00F73C3A">
        <w:rPr>
          <w:rFonts w:ascii="Calibri" w:hAnsi="Calibri" w:cs="Arial"/>
          <w:color w:val="262626" w:themeColor="text1" w:themeTint="D9"/>
          <w:szCs w:val="20"/>
          <w:lang w:val="en-US"/>
        </w:rPr>
        <w:t>urchase (“HP”)</w:t>
      </w:r>
      <w:r w:rsidRPr="00F73C3A">
        <w:rPr>
          <w:rFonts w:ascii="Calibri" w:hAnsi="Calibri" w:cs="Arial"/>
          <w:color w:val="262626" w:themeColor="text1" w:themeTint="D9"/>
          <w:szCs w:val="20"/>
          <w:lang w:val="en-US"/>
        </w:rPr>
        <w:t xml:space="preserve"> agreements which include an option to purchase the asset at the end of the term will be eligible providing the applicant confirms that they will pay the option </w:t>
      </w:r>
      <w:r w:rsidR="001C7680" w:rsidRPr="00F73C3A">
        <w:rPr>
          <w:rFonts w:ascii="Calibri" w:hAnsi="Calibri" w:cs="Arial"/>
          <w:color w:val="262626" w:themeColor="text1" w:themeTint="D9"/>
          <w:szCs w:val="20"/>
          <w:lang w:val="en-US"/>
        </w:rPr>
        <w:t xml:space="preserve">to purchase </w:t>
      </w:r>
      <w:r w:rsidRPr="00F73C3A">
        <w:rPr>
          <w:rFonts w:ascii="Calibri" w:hAnsi="Calibri" w:cs="Arial"/>
          <w:color w:val="262626" w:themeColor="text1" w:themeTint="D9"/>
          <w:szCs w:val="20"/>
          <w:lang w:val="en-US"/>
        </w:rPr>
        <w:t xml:space="preserve">fee. </w:t>
      </w:r>
    </w:p>
    <w:p w:rsidR="00594EA7" w:rsidRPr="00F73C3A" w:rsidRDefault="000011CF" w:rsidP="00055243">
      <w:pPr>
        <w:rPr>
          <w:rFonts w:ascii="Calibri" w:hAnsi="Calibri" w:cs="HelveticaNeue-Light"/>
          <w:color w:val="262626" w:themeColor="text1" w:themeTint="D9"/>
          <w:szCs w:val="20"/>
          <w:lang w:eastAsia="en-GB"/>
        </w:rPr>
      </w:pPr>
      <w:r w:rsidRPr="00F73C3A">
        <w:rPr>
          <w:rFonts w:ascii="Calibri" w:hAnsi="Calibri" w:cs="Arial"/>
          <w:color w:val="262626" w:themeColor="text1" w:themeTint="D9"/>
          <w:szCs w:val="20"/>
          <w:lang w:val="en-US"/>
        </w:rPr>
        <w:t>EU State Aid rules specify that for a capitalised lease</w:t>
      </w:r>
      <w:r w:rsidR="00D51454"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of land and buildings to be regarded as eligible expenditure it must</w:t>
      </w:r>
      <w:r w:rsidR="00D51454"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continue for at least five years after the anticipated date of the completion</w:t>
      </w:r>
      <w:r w:rsidR="00D51454"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of the investment project or three years in the case of SMEs.</w:t>
      </w:r>
      <w:r w:rsidR="00594EA7" w:rsidRPr="00F73C3A">
        <w:rPr>
          <w:rFonts w:ascii="Calibri" w:hAnsi="Calibri" w:cs="HelveticaNeue-Light"/>
          <w:color w:val="262626" w:themeColor="text1" w:themeTint="D9"/>
          <w:szCs w:val="20"/>
          <w:lang w:eastAsia="en-GB"/>
        </w:rPr>
        <w:t xml:space="preserve"> </w:t>
      </w:r>
      <w:r w:rsidR="00DD6927" w:rsidRPr="00F73C3A">
        <w:rPr>
          <w:rFonts w:ascii="Calibri" w:hAnsi="Calibri" w:cs="HelveticaNeue-Light"/>
          <w:color w:val="262626" w:themeColor="text1" w:themeTint="D9"/>
          <w:szCs w:val="20"/>
          <w:lang w:eastAsia="en-GB"/>
        </w:rPr>
        <w:t>Land and building leases with related parties will not be eligible.</w:t>
      </w:r>
    </w:p>
    <w:p w:rsidR="000011CF" w:rsidRPr="00F73C3A" w:rsidRDefault="00594EA7" w:rsidP="00055243">
      <w:pPr>
        <w:rPr>
          <w:rFonts w:ascii="Calibri" w:hAnsi="Calibri" w:cs="Arial"/>
          <w:color w:val="262626" w:themeColor="text1" w:themeTint="D9"/>
          <w:lang w:val="en-US"/>
        </w:rPr>
      </w:pPr>
      <w:r w:rsidRPr="00F73C3A">
        <w:rPr>
          <w:rFonts w:ascii="Calibri" w:hAnsi="Calibri" w:cs="Arial"/>
          <w:color w:val="262626" w:themeColor="text1" w:themeTint="D9"/>
          <w:lang w:eastAsia="en-GB"/>
        </w:rPr>
        <w:t>Land and building leases should not normally be capitalised for longer than</w:t>
      </w:r>
      <w:r w:rsidR="0043018E" w:rsidRPr="00F73C3A">
        <w:rPr>
          <w:rFonts w:ascii="Calibri" w:hAnsi="Calibri" w:cs="Arial"/>
          <w:color w:val="262626" w:themeColor="text1" w:themeTint="D9"/>
          <w:lang w:eastAsia="en-GB"/>
        </w:rPr>
        <w:t xml:space="preserve"> the</w:t>
      </w:r>
      <w:r w:rsidRPr="00F73C3A">
        <w:rPr>
          <w:rFonts w:ascii="Calibri" w:hAnsi="Calibri" w:cs="Arial"/>
          <w:color w:val="262626" w:themeColor="text1" w:themeTint="D9"/>
          <w:lang w:eastAsia="en-GB"/>
        </w:rPr>
        <w:t xml:space="preserve"> minimum period specified by State Aid rules, nor should a land and building lease be capitalised over a period where the company has an option to terminate the lease. In unusual situations where it is desirable to capitalise a land and building lease for longer than the minimum specified by EU State Aid rules then the phasing of </w:t>
      </w:r>
      <w:r w:rsidR="00B96E7A" w:rsidRPr="00F73C3A">
        <w:rPr>
          <w:rFonts w:ascii="Calibri" w:hAnsi="Calibri" w:cs="Arial"/>
          <w:color w:val="262626" w:themeColor="text1" w:themeTint="D9"/>
          <w:lang w:eastAsia="en-GB"/>
        </w:rPr>
        <w:t xml:space="preserve">the </w:t>
      </w:r>
      <w:r w:rsidRPr="00F73C3A">
        <w:rPr>
          <w:rFonts w:ascii="Calibri" w:hAnsi="Calibri" w:cs="Arial"/>
          <w:color w:val="262626" w:themeColor="text1" w:themeTint="D9"/>
          <w:lang w:eastAsia="en-GB"/>
        </w:rPr>
        <w:t>grant (and therefore the conditions period) should be extended by an equal amount.</w:t>
      </w:r>
    </w:p>
    <w:p w:rsidR="000011CF" w:rsidRPr="00F73C3A" w:rsidRDefault="000011CF" w:rsidP="00055243">
      <w:pPr>
        <w:rPr>
          <w:rFonts w:ascii="Calibri" w:hAnsi="Calibri"/>
          <w:color w:val="262626" w:themeColor="text1" w:themeTint="D9"/>
        </w:rPr>
      </w:pPr>
      <w:bookmarkStart w:id="37" w:name="657"/>
      <w:bookmarkEnd w:id="37"/>
      <w:r w:rsidRPr="00F73C3A">
        <w:rPr>
          <w:rFonts w:ascii="Calibri" w:hAnsi="Calibri"/>
          <w:color w:val="262626" w:themeColor="text1" w:themeTint="D9"/>
        </w:rPr>
        <w:t>Except in the case of SMEs and takeovers, the assets acquired shall be new</w:t>
      </w:r>
      <w:r w:rsidRPr="00F73C3A">
        <w:rPr>
          <w:rStyle w:val="FootnoteReference"/>
          <w:rFonts w:ascii="Calibri" w:hAnsi="Calibri"/>
          <w:color w:val="262626" w:themeColor="text1" w:themeTint="D9"/>
          <w:sz w:val="22"/>
        </w:rPr>
        <w:t xml:space="preserve"> </w:t>
      </w:r>
      <w:r w:rsidRPr="00F73C3A">
        <w:rPr>
          <w:rFonts w:ascii="Calibri" w:hAnsi="Calibri"/>
          <w:color w:val="262626" w:themeColor="text1" w:themeTint="D9"/>
        </w:rPr>
        <w:t xml:space="preserve">to the company and must not replace existing assets. </w:t>
      </w:r>
    </w:p>
    <w:p w:rsidR="000011CF" w:rsidRPr="00F73C3A" w:rsidRDefault="000011CF" w:rsidP="00055243">
      <w:pPr>
        <w:rPr>
          <w:rFonts w:ascii="Calibri" w:hAnsi="Calibri"/>
          <w:color w:val="262626" w:themeColor="text1" w:themeTint="D9"/>
        </w:rPr>
      </w:pPr>
      <w:r w:rsidRPr="00F73C3A">
        <w:rPr>
          <w:rFonts w:ascii="Calibri" w:hAnsi="Calibri"/>
          <w:color w:val="262626" w:themeColor="text1" w:themeTint="D9"/>
        </w:rPr>
        <w:t xml:space="preserve">The investment must be maintained in the </w:t>
      </w:r>
      <w:r w:rsidR="00612905" w:rsidRPr="00F73C3A">
        <w:rPr>
          <w:rFonts w:ascii="Calibri" w:hAnsi="Calibri"/>
          <w:color w:val="262626" w:themeColor="text1" w:themeTint="D9"/>
        </w:rPr>
        <w:t>Cumbria</w:t>
      </w:r>
      <w:r w:rsidRPr="00F73C3A">
        <w:rPr>
          <w:rFonts w:ascii="Calibri" w:hAnsi="Calibri"/>
          <w:color w:val="262626" w:themeColor="text1" w:themeTint="D9"/>
        </w:rPr>
        <w:t xml:space="preserve"> for at least five years, or three years in the case of SMEs, after the whole investment has been completed. This shall not prevent the replacement of plant or equipment that has become outdated due to rapid technological change, provided that the economic activity is retained in the region for the minimum period.</w:t>
      </w:r>
    </w:p>
    <w:p w:rsidR="000011CF" w:rsidRPr="00F73C3A" w:rsidRDefault="00612905" w:rsidP="00055243">
      <w:pPr>
        <w:rPr>
          <w:rFonts w:ascii="Calibri" w:hAnsi="Calibri"/>
          <w:color w:val="262626" w:themeColor="text1" w:themeTint="D9"/>
        </w:rPr>
      </w:pPr>
      <w:r w:rsidRPr="00F73C3A">
        <w:rPr>
          <w:rFonts w:ascii="Calibri" w:hAnsi="Calibri"/>
          <w:color w:val="262626" w:themeColor="text1" w:themeTint="D9"/>
        </w:rPr>
        <w:t>Cumbria Growth Fund</w:t>
      </w:r>
      <w:r w:rsidR="000011CF" w:rsidRPr="00F73C3A">
        <w:rPr>
          <w:rFonts w:ascii="Calibri" w:hAnsi="Calibri"/>
          <w:color w:val="262626" w:themeColor="text1" w:themeTint="D9"/>
        </w:rPr>
        <w:t xml:space="preserve"> will not be provided for routine investment, including routine upgrading of products with a short life span, unless there is convincing evidence that the alternative is to relocate. </w:t>
      </w:r>
    </w:p>
    <w:p w:rsidR="000011CF" w:rsidRPr="00F73C3A" w:rsidRDefault="000011CF" w:rsidP="00055243">
      <w:pPr>
        <w:rPr>
          <w:rFonts w:ascii="Calibri" w:hAnsi="Calibri"/>
          <w:color w:val="262626" w:themeColor="text1" w:themeTint="D9"/>
        </w:rPr>
      </w:pPr>
      <w:r w:rsidRPr="00F73C3A">
        <w:rPr>
          <w:rFonts w:ascii="Calibri" w:hAnsi="Calibri"/>
          <w:color w:val="262626" w:themeColor="text1" w:themeTint="D9"/>
          <w:lang w:val="en-US"/>
        </w:rPr>
        <w:t>Spend on development and building of prototypes is not an eligible cost for the purpose of calculating investment expenditure.</w:t>
      </w:r>
    </w:p>
    <w:p w:rsidR="000011CF" w:rsidRPr="00F73C3A" w:rsidRDefault="000011CF" w:rsidP="00055243">
      <w:pPr>
        <w:rPr>
          <w:rFonts w:ascii="Calibri" w:hAnsi="Calibri"/>
          <w:color w:val="262626" w:themeColor="text1" w:themeTint="D9"/>
        </w:rPr>
      </w:pPr>
      <w:r w:rsidRPr="00F73C3A">
        <w:rPr>
          <w:rFonts w:ascii="Calibri" w:hAnsi="Calibri"/>
          <w:color w:val="262626" w:themeColor="text1" w:themeTint="D9"/>
        </w:rPr>
        <w:t xml:space="preserve">Expenditure on the purchase of transport equipment is not eligible for </w:t>
      </w:r>
      <w:r w:rsidR="00612905" w:rsidRPr="00F73C3A">
        <w:rPr>
          <w:rFonts w:ascii="Calibri" w:hAnsi="Calibri"/>
          <w:color w:val="262626" w:themeColor="text1" w:themeTint="D9"/>
        </w:rPr>
        <w:t>Cumbria Growth Fund</w:t>
      </w:r>
      <w:r w:rsidRPr="00F73C3A">
        <w:rPr>
          <w:rFonts w:ascii="Calibri" w:hAnsi="Calibri"/>
          <w:color w:val="262626" w:themeColor="text1" w:themeTint="D9"/>
        </w:rPr>
        <w:t xml:space="preserve"> support. </w:t>
      </w:r>
      <w:r w:rsidR="00BA1B8C" w:rsidRPr="00F73C3A">
        <w:rPr>
          <w:rFonts w:ascii="Calibri" w:hAnsi="Calibri"/>
          <w:color w:val="262626" w:themeColor="text1" w:themeTint="D9"/>
        </w:rPr>
        <w:t>Regional Investment Aid cannot be granted to other movable assets.</w:t>
      </w:r>
    </w:p>
    <w:p w:rsidR="00FA15D7" w:rsidRPr="00F73C3A" w:rsidRDefault="00FA15D7" w:rsidP="00055243">
      <w:pPr>
        <w:rPr>
          <w:rFonts w:ascii="Calibri" w:hAnsi="Calibri"/>
          <w:color w:val="262626" w:themeColor="text1" w:themeTint="D9"/>
        </w:rPr>
      </w:pPr>
      <w:r w:rsidRPr="00F73C3A">
        <w:rPr>
          <w:rFonts w:ascii="Calibri" w:hAnsi="Calibri"/>
          <w:color w:val="262626" w:themeColor="text1" w:themeTint="D9"/>
        </w:rPr>
        <w:t xml:space="preserve">Intangible assets are eligible if they fulfil </w:t>
      </w:r>
      <w:r w:rsidR="00B96E7A" w:rsidRPr="00F73C3A">
        <w:rPr>
          <w:rFonts w:ascii="Calibri" w:hAnsi="Calibri"/>
          <w:color w:val="262626" w:themeColor="text1" w:themeTint="D9"/>
        </w:rPr>
        <w:t xml:space="preserve">all of </w:t>
      </w:r>
      <w:r w:rsidRPr="00F73C3A">
        <w:rPr>
          <w:rFonts w:ascii="Calibri" w:hAnsi="Calibri"/>
          <w:color w:val="262626" w:themeColor="text1" w:themeTint="D9"/>
        </w:rPr>
        <w:t>the following conditions:</w:t>
      </w:r>
    </w:p>
    <w:p w:rsidR="00151913" w:rsidRPr="00F73C3A" w:rsidRDefault="00FA15D7" w:rsidP="00F61707">
      <w:pPr>
        <w:pStyle w:val="ListParagraph"/>
        <w:numPr>
          <w:ilvl w:val="1"/>
          <w:numId w:val="42"/>
        </w:numPr>
        <w:rPr>
          <w:rFonts w:ascii="Calibri" w:hAnsi="Calibri"/>
          <w:color w:val="262626" w:themeColor="text1" w:themeTint="D9"/>
        </w:rPr>
      </w:pPr>
      <w:r w:rsidRPr="00F73C3A">
        <w:rPr>
          <w:rFonts w:ascii="Calibri" w:hAnsi="Calibri"/>
          <w:color w:val="262626" w:themeColor="text1" w:themeTint="D9"/>
        </w:rPr>
        <w:t xml:space="preserve">they must be used exclusively in the </w:t>
      </w:r>
      <w:r w:rsidR="00265D1B" w:rsidRPr="00F73C3A">
        <w:rPr>
          <w:rFonts w:ascii="Calibri" w:hAnsi="Calibri"/>
          <w:color w:val="262626" w:themeColor="text1" w:themeTint="D9"/>
        </w:rPr>
        <w:t>establishment receiving the aid</w:t>
      </w:r>
    </w:p>
    <w:p w:rsidR="00151913" w:rsidRPr="00F73C3A" w:rsidRDefault="00265D1B" w:rsidP="00F61707">
      <w:pPr>
        <w:pStyle w:val="ListParagraph"/>
        <w:numPr>
          <w:ilvl w:val="1"/>
          <w:numId w:val="42"/>
        </w:numPr>
        <w:rPr>
          <w:rFonts w:ascii="Calibri" w:hAnsi="Calibri"/>
          <w:color w:val="262626" w:themeColor="text1" w:themeTint="D9"/>
        </w:rPr>
      </w:pPr>
      <w:r w:rsidRPr="00F73C3A">
        <w:rPr>
          <w:rFonts w:ascii="Calibri" w:hAnsi="Calibri"/>
          <w:color w:val="262626" w:themeColor="text1" w:themeTint="D9"/>
        </w:rPr>
        <w:t>they must be amortisable</w:t>
      </w:r>
    </w:p>
    <w:p w:rsidR="00151913" w:rsidRPr="00F73C3A" w:rsidRDefault="00FA15D7" w:rsidP="00F61707">
      <w:pPr>
        <w:pStyle w:val="ListParagraph"/>
        <w:numPr>
          <w:ilvl w:val="1"/>
          <w:numId w:val="42"/>
        </w:numPr>
        <w:rPr>
          <w:rFonts w:ascii="Calibri" w:hAnsi="Calibri"/>
          <w:color w:val="262626" w:themeColor="text1" w:themeTint="D9"/>
        </w:rPr>
      </w:pPr>
      <w:r w:rsidRPr="00F73C3A">
        <w:rPr>
          <w:rFonts w:ascii="Calibri" w:hAnsi="Calibri"/>
          <w:color w:val="262626" w:themeColor="text1" w:themeTint="D9"/>
        </w:rPr>
        <w:t>they must be purchased under market conditions from third</w:t>
      </w:r>
      <w:r w:rsidR="00B96E7A" w:rsidRPr="00F73C3A">
        <w:rPr>
          <w:rFonts w:ascii="Calibri" w:hAnsi="Calibri"/>
          <w:color w:val="262626" w:themeColor="text1" w:themeTint="D9"/>
        </w:rPr>
        <w:t xml:space="preserve"> parties unrelated to the buyer</w:t>
      </w:r>
    </w:p>
    <w:p w:rsidR="00151913" w:rsidRPr="00F73C3A" w:rsidRDefault="00FA15D7" w:rsidP="00F61707">
      <w:pPr>
        <w:pStyle w:val="ListParagraph"/>
        <w:numPr>
          <w:ilvl w:val="1"/>
          <w:numId w:val="42"/>
        </w:numPr>
        <w:rPr>
          <w:rFonts w:ascii="Calibri" w:hAnsi="Calibri"/>
          <w:color w:val="262626" w:themeColor="text1" w:themeTint="D9"/>
        </w:rPr>
      </w:pPr>
      <w:r w:rsidRPr="00F73C3A">
        <w:rPr>
          <w:rFonts w:ascii="Calibri" w:hAnsi="Calibri"/>
          <w:color w:val="262626" w:themeColor="text1" w:themeTint="D9"/>
        </w:rPr>
        <w:t>they must be included in the assets of the undertaking receiving the aid and must remain associated with the project for which the aid is granted for at least five years</w:t>
      </w:r>
      <w:r w:rsidR="00B96E7A" w:rsidRPr="00F73C3A">
        <w:rPr>
          <w:rFonts w:ascii="Calibri" w:hAnsi="Calibri"/>
          <w:color w:val="262626" w:themeColor="text1" w:themeTint="D9"/>
        </w:rPr>
        <w:t>,</w:t>
      </w:r>
      <w:r w:rsidRPr="00F73C3A">
        <w:rPr>
          <w:rFonts w:ascii="Calibri" w:hAnsi="Calibri"/>
          <w:color w:val="262626" w:themeColor="text1" w:themeTint="D9"/>
        </w:rPr>
        <w:t xml:space="preserve"> or three years in the case of SMEs.</w:t>
      </w:r>
    </w:p>
    <w:p w:rsidR="00025813" w:rsidRPr="00F73C3A" w:rsidRDefault="00FA15D7" w:rsidP="00FA15D7">
      <w:pPr>
        <w:rPr>
          <w:rFonts w:ascii="Calibri" w:hAnsi="Calibri"/>
          <w:color w:val="262626" w:themeColor="text1" w:themeTint="D9"/>
        </w:rPr>
      </w:pPr>
      <w:r w:rsidRPr="00F73C3A">
        <w:rPr>
          <w:rFonts w:ascii="Calibri" w:hAnsi="Calibri"/>
          <w:color w:val="262626" w:themeColor="text1" w:themeTint="D9"/>
        </w:rPr>
        <w:t xml:space="preserve">For large undertakings, </w:t>
      </w:r>
      <w:r w:rsidR="0043018E" w:rsidRPr="00F73C3A">
        <w:rPr>
          <w:rFonts w:ascii="Calibri" w:hAnsi="Calibri"/>
          <w:color w:val="262626" w:themeColor="text1" w:themeTint="D9"/>
        </w:rPr>
        <w:t xml:space="preserve">the </w:t>
      </w:r>
      <w:r w:rsidRPr="00F73C3A">
        <w:rPr>
          <w:rFonts w:ascii="Calibri" w:hAnsi="Calibri"/>
          <w:color w:val="262626" w:themeColor="text1" w:themeTint="D9"/>
        </w:rPr>
        <w:t>cost</w:t>
      </w:r>
      <w:r w:rsidR="0043018E" w:rsidRPr="00F73C3A">
        <w:rPr>
          <w:rFonts w:ascii="Calibri" w:hAnsi="Calibri"/>
          <w:color w:val="262626" w:themeColor="text1" w:themeTint="D9"/>
        </w:rPr>
        <w:t>s</w:t>
      </w:r>
      <w:r w:rsidRPr="00F73C3A">
        <w:rPr>
          <w:rFonts w:ascii="Calibri" w:hAnsi="Calibri"/>
          <w:color w:val="262626" w:themeColor="text1" w:themeTint="D9"/>
        </w:rPr>
        <w:t xml:space="preserve"> of intangible assets are eligible only up to a limit of 50% of the total eligible investment costs for the initial investment. </w:t>
      </w:r>
    </w:p>
    <w:p w:rsidR="000011CF" w:rsidRPr="00F73C3A" w:rsidRDefault="000011CF" w:rsidP="00B3076A">
      <w:pPr>
        <w:pStyle w:val="Heading4"/>
        <w:rPr>
          <w:rFonts w:ascii="Calibri" w:hAnsi="Calibri"/>
          <w:color w:val="262626" w:themeColor="text1" w:themeTint="D9"/>
        </w:rPr>
      </w:pPr>
      <w:bookmarkStart w:id="38" w:name="SECTION00327200000000000000"/>
      <w:r w:rsidRPr="00F73C3A">
        <w:rPr>
          <w:rFonts w:ascii="Calibri" w:hAnsi="Calibri"/>
          <w:color w:val="262626" w:themeColor="text1" w:themeTint="D9"/>
        </w:rPr>
        <w:t>Expenditure associated with job creation</w:t>
      </w:r>
      <w:bookmarkEnd w:id="38"/>
      <w:r w:rsidRPr="00F73C3A">
        <w:rPr>
          <w:rFonts w:ascii="Calibri" w:hAnsi="Calibri"/>
          <w:color w:val="262626" w:themeColor="text1" w:themeTint="D9"/>
        </w:rPr>
        <w:t xml:space="preserve"> </w:t>
      </w:r>
    </w:p>
    <w:p w:rsidR="000011CF" w:rsidRPr="00F73C3A" w:rsidRDefault="000011CF" w:rsidP="003E6D0C">
      <w:pPr>
        <w:rPr>
          <w:rFonts w:ascii="Calibri" w:hAnsi="Calibri"/>
          <w:color w:val="262626" w:themeColor="text1" w:themeTint="D9"/>
        </w:rPr>
      </w:pPr>
      <w:bookmarkStart w:id="39" w:name="604"/>
      <w:bookmarkStart w:id="40" w:name="p_job_grants"/>
      <w:bookmarkEnd w:id="39"/>
      <w:bookmarkEnd w:id="40"/>
      <w:r w:rsidRPr="00F73C3A">
        <w:rPr>
          <w:rFonts w:ascii="Calibri" w:hAnsi="Calibri"/>
          <w:color w:val="262626" w:themeColor="text1" w:themeTint="D9"/>
        </w:rPr>
        <w:t xml:space="preserve">In order to be considered an eligible cost for the purposes of </w:t>
      </w:r>
      <w:r w:rsidR="00612905" w:rsidRPr="00F73C3A">
        <w:rPr>
          <w:rFonts w:ascii="Calibri" w:hAnsi="Calibri"/>
          <w:color w:val="262626" w:themeColor="text1" w:themeTint="D9"/>
        </w:rPr>
        <w:t>Cumbria Growth Fund</w:t>
      </w:r>
      <w:r w:rsidRPr="00F73C3A">
        <w:rPr>
          <w:rFonts w:ascii="Calibri" w:hAnsi="Calibri"/>
          <w:color w:val="262626" w:themeColor="text1" w:themeTint="D9"/>
        </w:rPr>
        <w:t xml:space="preserve">, employment directly created by an investment project shall fulfil the following conditions: </w:t>
      </w:r>
    </w:p>
    <w:p w:rsidR="00025813" w:rsidRPr="00F73C3A" w:rsidRDefault="00025813" w:rsidP="00F61707">
      <w:pPr>
        <w:pStyle w:val="ListParagraph"/>
        <w:numPr>
          <w:ilvl w:val="0"/>
          <w:numId w:val="43"/>
        </w:numPr>
        <w:rPr>
          <w:rFonts w:ascii="Calibri" w:hAnsi="Calibri"/>
          <w:color w:val="262626" w:themeColor="text1" w:themeTint="D9"/>
        </w:rPr>
      </w:pPr>
      <w:r w:rsidRPr="00F73C3A">
        <w:rPr>
          <w:rFonts w:ascii="Calibri" w:hAnsi="Calibri"/>
          <w:color w:val="262626" w:themeColor="text1" w:themeTint="D9"/>
        </w:rPr>
        <w:t>each post shall be filled within thr</w:t>
      </w:r>
      <w:r w:rsidR="00265D1B" w:rsidRPr="00F73C3A">
        <w:rPr>
          <w:rFonts w:ascii="Calibri" w:hAnsi="Calibri"/>
          <w:color w:val="262626" w:themeColor="text1" w:themeTint="D9"/>
        </w:rPr>
        <w:t>ee years of completion of works</w:t>
      </w:r>
      <w:r w:rsidRPr="00F73C3A">
        <w:rPr>
          <w:rFonts w:ascii="Calibri" w:hAnsi="Calibri"/>
          <w:color w:val="262626" w:themeColor="text1" w:themeTint="D9"/>
        </w:rPr>
        <w:t xml:space="preserve"> </w:t>
      </w:r>
    </w:p>
    <w:p w:rsidR="00025813" w:rsidRPr="00F73C3A" w:rsidRDefault="00025813" w:rsidP="00F61707">
      <w:pPr>
        <w:pStyle w:val="ListParagraph"/>
        <w:numPr>
          <w:ilvl w:val="0"/>
          <w:numId w:val="43"/>
        </w:numPr>
        <w:rPr>
          <w:rFonts w:ascii="Calibri" w:hAnsi="Calibri"/>
          <w:color w:val="262626" w:themeColor="text1" w:themeTint="D9"/>
        </w:rPr>
      </w:pPr>
      <w:r w:rsidRPr="00F73C3A">
        <w:rPr>
          <w:rFonts w:ascii="Calibri" w:hAnsi="Calibri"/>
          <w:color w:val="262626" w:themeColor="text1" w:themeTint="D9"/>
        </w:rPr>
        <w:t>the investment project shall lead to a net increase in the number of employees in the establishment concerned, compared with the average over the previous twelve months, meaning that any job lost shall be deducted from the apparent created nu</w:t>
      </w:r>
      <w:r w:rsidR="00B96E7A" w:rsidRPr="00F73C3A">
        <w:rPr>
          <w:rFonts w:ascii="Calibri" w:hAnsi="Calibri"/>
          <w:color w:val="262626" w:themeColor="text1" w:themeTint="D9"/>
        </w:rPr>
        <w:t>mber of jobs during that period</w:t>
      </w:r>
    </w:p>
    <w:p w:rsidR="00025813" w:rsidRPr="00F73C3A" w:rsidRDefault="00B96E7A" w:rsidP="00F61707">
      <w:pPr>
        <w:pStyle w:val="ListParagraph"/>
        <w:numPr>
          <w:ilvl w:val="0"/>
          <w:numId w:val="43"/>
        </w:numPr>
        <w:rPr>
          <w:rFonts w:ascii="Calibri" w:hAnsi="Calibri"/>
          <w:bCs/>
          <w:color w:val="262626" w:themeColor="text1" w:themeTint="D9"/>
        </w:rPr>
      </w:pPr>
      <w:r w:rsidRPr="00F73C3A">
        <w:rPr>
          <w:rFonts w:ascii="Calibri" w:hAnsi="Calibri"/>
          <w:color w:val="262626" w:themeColor="text1" w:themeTint="D9"/>
        </w:rPr>
        <w:t xml:space="preserve">the intention is that </w:t>
      </w:r>
      <w:r w:rsidR="00025813" w:rsidRPr="00F73C3A">
        <w:rPr>
          <w:rFonts w:ascii="Calibri" w:hAnsi="Calibri"/>
          <w:color w:val="262626" w:themeColor="text1" w:themeTint="D9"/>
        </w:rPr>
        <w:t xml:space="preserve">each job created through the investment </w:t>
      </w:r>
      <w:r w:rsidRPr="00F73C3A">
        <w:rPr>
          <w:rFonts w:ascii="Calibri" w:hAnsi="Calibri"/>
          <w:color w:val="262626" w:themeColor="text1" w:themeTint="D9"/>
        </w:rPr>
        <w:t xml:space="preserve">will </w:t>
      </w:r>
      <w:r w:rsidR="00025813" w:rsidRPr="00F73C3A">
        <w:rPr>
          <w:rFonts w:ascii="Calibri" w:hAnsi="Calibri"/>
          <w:color w:val="262626" w:themeColor="text1" w:themeTint="D9"/>
        </w:rPr>
        <w:t>be maintained in the area concerned  for a period of at least five years from the date the post was first filled, or t</w:t>
      </w:r>
      <w:r w:rsidRPr="00F73C3A">
        <w:rPr>
          <w:rFonts w:ascii="Calibri" w:hAnsi="Calibri"/>
          <w:color w:val="262626" w:themeColor="text1" w:themeTint="D9"/>
        </w:rPr>
        <w:t>hree years in the case of SMEs</w:t>
      </w:r>
    </w:p>
    <w:p w:rsidR="00025813" w:rsidRPr="00F73C3A" w:rsidRDefault="00025813" w:rsidP="00055243">
      <w:pPr>
        <w:rPr>
          <w:rFonts w:ascii="Calibri" w:hAnsi="Calibri"/>
          <w:color w:val="262626" w:themeColor="text1" w:themeTint="D9"/>
        </w:rPr>
      </w:pPr>
      <w:r w:rsidRPr="00F73C3A">
        <w:rPr>
          <w:rFonts w:ascii="Calibri" w:hAnsi="Calibri"/>
          <w:color w:val="262626" w:themeColor="text1" w:themeTint="D9"/>
        </w:rPr>
        <w:lastRenderedPageBreak/>
        <w:t xml:space="preserve">The eligible costs for the purposes of calculating the maximum grant available shall be </w:t>
      </w:r>
      <w:r w:rsidRPr="00F73C3A">
        <w:rPr>
          <w:rFonts w:ascii="Calibri" w:hAnsi="Calibri"/>
          <w:color w:val="262626" w:themeColor="text1" w:themeTint="D9"/>
          <w:lang w:val="en-US"/>
        </w:rPr>
        <w:t>the estimated wage costs arising from job creation as a result of an initial investment, calculated over a period of two years.</w:t>
      </w:r>
    </w:p>
    <w:p w:rsidR="000011CF" w:rsidRPr="00F73C3A" w:rsidRDefault="00D51454" w:rsidP="00D51454">
      <w:pPr>
        <w:pStyle w:val="Heading3"/>
        <w:rPr>
          <w:rFonts w:ascii="Calibri" w:hAnsi="Calibri"/>
          <w:color w:val="262626" w:themeColor="text1" w:themeTint="D9"/>
        </w:rPr>
      </w:pPr>
      <w:bookmarkStart w:id="41" w:name="_Toc349307607"/>
      <w:bookmarkStart w:id="42" w:name="_Toc349307756"/>
      <w:bookmarkStart w:id="43" w:name="_Toc349308189"/>
      <w:bookmarkStart w:id="44" w:name="_Toc349308266"/>
      <w:bookmarkStart w:id="45" w:name="_Toc349308374"/>
      <w:bookmarkStart w:id="46" w:name="_Toc349308467"/>
      <w:r w:rsidRPr="00F73C3A">
        <w:rPr>
          <w:rFonts w:ascii="Calibri" w:hAnsi="Calibri"/>
          <w:color w:val="262626" w:themeColor="text1" w:themeTint="D9"/>
        </w:rPr>
        <w:t>R&amp;D costs</w:t>
      </w:r>
      <w:bookmarkEnd w:id="41"/>
      <w:bookmarkEnd w:id="42"/>
      <w:bookmarkEnd w:id="43"/>
      <w:bookmarkEnd w:id="44"/>
      <w:bookmarkEnd w:id="45"/>
      <w:bookmarkEnd w:id="46"/>
    </w:p>
    <w:p w:rsidR="00D51454" w:rsidRPr="00F73C3A" w:rsidRDefault="00413221" w:rsidP="00055243">
      <w:pPr>
        <w:rPr>
          <w:rFonts w:ascii="Calibri" w:hAnsi="Calibri"/>
          <w:color w:val="262626" w:themeColor="text1" w:themeTint="D9"/>
        </w:rPr>
      </w:pPr>
      <w:r w:rsidRPr="00F73C3A">
        <w:rPr>
          <w:rFonts w:ascii="Calibri" w:hAnsi="Calibri"/>
          <w:color w:val="262626" w:themeColor="text1" w:themeTint="D9"/>
        </w:rPr>
        <w:t>Only costs that can be properly defrayed (that is, money that has in effect been paid from the grant recipient’s bank account) on the project are eligible for support. “</w:t>
      </w:r>
      <w:r w:rsidRPr="00F73C3A">
        <w:rPr>
          <w:rFonts w:ascii="Calibri" w:hAnsi="Calibri"/>
          <w:bCs/>
          <w:color w:val="262626" w:themeColor="text1" w:themeTint="D9"/>
        </w:rPr>
        <w:t>In kind” contributions are not eligible</w:t>
      </w:r>
      <w:r w:rsidR="00E10158" w:rsidRPr="00F73C3A">
        <w:rPr>
          <w:rFonts w:ascii="Calibri" w:hAnsi="Calibri"/>
          <w:b/>
          <w:bCs/>
          <w:color w:val="262626" w:themeColor="text1" w:themeTint="D9"/>
        </w:rPr>
        <w:t>.</w:t>
      </w:r>
    </w:p>
    <w:p w:rsidR="00413221" w:rsidRPr="00F73C3A" w:rsidRDefault="00413221" w:rsidP="00055243">
      <w:pPr>
        <w:rPr>
          <w:rFonts w:ascii="Calibri" w:hAnsi="Calibri"/>
          <w:bCs/>
          <w:color w:val="262626" w:themeColor="text1" w:themeTint="D9"/>
          <w:lang w:val="en-US"/>
        </w:rPr>
      </w:pPr>
      <w:r w:rsidRPr="00F73C3A">
        <w:rPr>
          <w:rFonts w:ascii="Calibri" w:hAnsi="Calibri"/>
          <w:bCs/>
          <w:color w:val="262626" w:themeColor="text1" w:themeTint="D9"/>
          <w:lang w:val="en-US"/>
        </w:rPr>
        <w:t xml:space="preserve">The following costs are eligible for grant support: </w:t>
      </w:r>
    </w:p>
    <w:p w:rsidR="00122EB0" w:rsidRPr="00F73C3A" w:rsidRDefault="00B96E7A" w:rsidP="00F61707">
      <w:pPr>
        <w:pStyle w:val="ListParagraph"/>
        <w:numPr>
          <w:ilvl w:val="0"/>
          <w:numId w:val="22"/>
        </w:numPr>
        <w:rPr>
          <w:rFonts w:ascii="Calibri" w:hAnsi="Calibri"/>
          <w:bCs/>
          <w:color w:val="262626" w:themeColor="text1" w:themeTint="D9"/>
        </w:rPr>
      </w:pPr>
      <w:r w:rsidRPr="00F73C3A">
        <w:rPr>
          <w:rFonts w:ascii="Calibri" w:hAnsi="Calibri"/>
          <w:bCs/>
          <w:color w:val="262626" w:themeColor="text1" w:themeTint="D9"/>
        </w:rPr>
        <w:t xml:space="preserve">Personnel costs of </w:t>
      </w:r>
      <w:r w:rsidR="00265D1B" w:rsidRPr="00F73C3A">
        <w:rPr>
          <w:rFonts w:ascii="Calibri" w:hAnsi="Calibri"/>
          <w:bCs/>
          <w:color w:val="262626" w:themeColor="text1" w:themeTint="D9"/>
        </w:rPr>
        <w:t>r</w:t>
      </w:r>
      <w:r w:rsidR="00122EB0" w:rsidRPr="00F73C3A">
        <w:rPr>
          <w:rFonts w:ascii="Calibri" w:hAnsi="Calibri"/>
          <w:bCs/>
          <w:color w:val="262626" w:themeColor="text1" w:themeTint="D9"/>
        </w:rPr>
        <w:t xml:space="preserve">esearchers, technicians and other supporting staff </w:t>
      </w:r>
      <w:r w:rsidRPr="00F73C3A">
        <w:rPr>
          <w:rFonts w:ascii="Calibri" w:hAnsi="Calibri"/>
          <w:bCs/>
          <w:color w:val="262626" w:themeColor="text1" w:themeTint="D9"/>
        </w:rPr>
        <w:t>to the</w:t>
      </w:r>
      <w:r w:rsidR="00265D1B" w:rsidRPr="00F73C3A">
        <w:rPr>
          <w:rFonts w:ascii="Calibri" w:hAnsi="Calibri"/>
          <w:bCs/>
          <w:color w:val="262626" w:themeColor="text1" w:themeTint="D9"/>
        </w:rPr>
        <w:t xml:space="preserve"> extent employed on t</w:t>
      </w:r>
      <w:r w:rsidRPr="00F73C3A">
        <w:rPr>
          <w:rFonts w:ascii="Calibri" w:hAnsi="Calibri"/>
          <w:bCs/>
          <w:color w:val="262626" w:themeColor="text1" w:themeTint="D9"/>
        </w:rPr>
        <w:t>he project.</w:t>
      </w:r>
    </w:p>
    <w:p w:rsidR="00122EB0" w:rsidRPr="00F73C3A" w:rsidRDefault="00122EB0" w:rsidP="00F61707">
      <w:pPr>
        <w:pStyle w:val="ListParagraph"/>
        <w:numPr>
          <w:ilvl w:val="0"/>
          <w:numId w:val="22"/>
        </w:numPr>
        <w:rPr>
          <w:rFonts w:ascii="Calibri" w:hAnsi="Calibri"/>
          <w:bCs/>
          <w:color w:val="262626" w:themeColor="text1" w:themeTint="D9"/>
        </w:rPr>
      </w:pPr>
      <w:r w:rsidRPr="00F73C3A">
        <w:rPr>
          <w:rFonts w:ascii="Calibri" w:hAnsi="Calibri"/>
          <w:bCs/>
          <w:color w:val="262626" w:themeColor="text1" w:themeTint="D9"/>
        </w:rPr>
        <w:t>Costs of instruments and equipment to the extent and for the period used for the project. Where such instruments and equipment are not used for their full life for the project, only the depreciation costs corresponding to the life of the project, as calculated on the basis of generally accepted accounting princi</w:t>
      </w:r>
      <w:r w:rsidR="00265D1B" w:rsidRPr="00F73C3A">
        <w:rPr>
          <w:rFonts w:ascii="Calibri" w:hAnsi="Calibri"/>
          <w:bCs/>
          <w:color w:val="262626" w:themeColor="text1" w:themeTint="D9"/>
        </w:rPr>
        <w:t>ples are considered as eligible.</w:t>
      </w:r>
    </w:p>
    <w:p w:rsidR="00122EB0" w:rsidRPr="00F73C3A" w:rsidRDefault="00122EB0" w:rsidP="00F61707">
      <w:pPr>
        <w:pStyle w:val="ListParagraph"/>
        <w:numPr>
          <w:ilvl w:val="0"/>
          <w:numId w:val="22"/>
        </w:numPr>
        <w:rPr>
          <w:rFonts w:ascii="Calibri" w:hAnsi="Calibri"/>
          <w:bCs/>
          <w:color w:val="262626" w:themeColor="text1" w:themeTint="D9"/>
        </w:rPr>
      </w:pPr>
      <w:r w:rsidRPr="00F73C3A">
        <w:rPr>
          <w:rFonts w:ascii="Calibri" w:hAnsi="Calibri"/>
          <w:bCs/>
          <w:color w:val="262626" w:themeColor="text1" w:themeTint="D9"/>
        </w:rPr>
        <w:t>Costs of buildings and land, to the extent and for the duration used the project. With regard to buildings, only the depreciation costs corresponding to the life of the project, as calculated on the basis of generally accepted accounting principles are considered as eligible. For land, costs of commercial transfer or actually incurred capital costs are eligible.</w:t>
      </w:r>
    </w:p>
    <w:p w:rsidR="00122EB0" w:rsidRPr="00F73C3A" w:rsidRDefault="00122EB0" w:rsidP="00F61707">
      <w:pPr>
        <w:pStyle w:val="ListParagraph"/>
        <w:numPr>
          <w:ilvl w:val="0"/>
          <w:numId w:val="22"/>
        </w:numPr>
        <w:rPr>
          <w:rFonts w:ascii="Calibri" w:hAnsi="Calibri"/>
          <w:bCs/>
          <w:color w:val="262626" w:themeColor="text1" w:themeTint="D9"/>
        </w:rPr>
      </w:pPr>
      <w:r w:rsidRPr="00F73C3A">
        <w:rPr>
          <w:rFonts w:ascii="Calibri" w:hAnsi="Calibri"/>
          <w:bCs/>
          <w:color w:val="262626" w:themeColor="text1" w:themeTint="D9"/>
        </w:rPr>
        <w:t>Costs of contractual research, knowledge and patents bought or licenced from outside sources at arms’ length conditions, as well as costs of consultancy and equivalent services used exc</w:t>
      </w:r>
      <w:r w:rsidR="00265D1B" w:rsidRPr="00F73C3A">
        <w:rPr>
          <w:rFonts w:ascii="Calibri" w:hAnsi="Calibri"/>
          <w:bCs/>
          <w:color w:val="262626" w:themeColor="text1" w:themeTint="D9"/>
        </w:rPr>
        <w:t>lusively for the project.</w:t>
      </w:r>
    </w:p>
    <w:p w:rsidR="00122EB0" w:rsidRPr="00F73C3A" w:rsidRDefault="00122EB0" w:rsidP="00F61707">
      <w:pPr>
        <w:pStyle w:val="ListParagraph"/>
        <w:numPr>
          <w:ilvl w:val="0"/>
          <w:numId w:val="22"/>
        </w:numPr>
        <w:rPr>
          <w:rFonts w:ascii="Calibri" w:hAnsi="Calibri"/>
          <w:bCs/>
          <w:color w:val="262626" w:themeColor="text1" w:themeTint="D9"/>
        </w:rPr>
      </w:pPr>
      <w:r w:rsidRPr="00F73C3A">
        <w:rPr>
          <w:rFonts w:ascii="Calibri" w:hAnsi="Calibri"/>
          <w:bCs/>
          <w:color w:val="262626" w:themeColor="text1" w:themeTint="D9"/>
        </w:rPr>
        <w:t>Additional overheads and other operating expenses, including costs of materials, supplies and similar products, incurred directly as a result of the project.</w:t>
      </w:r>
    </w:p>
    <w:p w:rsidR="00413221" w:rsidRPr="00F73C3A" w:rsidRDefault="00413221" w:rsidP="00055243">
      <w:pPr>
        <w:rPr>
          <w:rFonts w:ascii="Calibri" w:hAnsi="Calibri"/>
          <w:color w:val="262626" w:themeColor="text1" w:themeTint="D9"/>
        </w:rPr>
      </w:pPr>
      <w:r w:rsidRPr="00F73C3A">
        <w:rPr>
          <w:rFonts w:ascii="Calibri" w:hAnsi="Calibri"/>
          <w:bCs/>
          <w:color w:val="262626" w:themeColor="text1" w:themeTint="D9"/>
        </w:rPr>
        <w:t>All eligible costs may be subject to agreed adjustments for residual or recoverable value.</w:t>
      </w:r>
      <w:r w:rsidRPr="00F73C3A">
        <w:rPr>
          <w:rFonts w:ascii="Calibri" w:hAnsi="Calibri"/>
          <w:color w:val="262626" w:themeColor="text1" w:themeTint="D9"/>
        </w:rPr>
        <w:t xml:space="preserve"> </w:t>
      </w:r>
    </w:p>
    <w:p w:rsidR="00055243" w:rsidRPr="00F73C3A" w:rsidRDefault="00413221" w:rsidP="00055243">
      <w:pPr>
        <w:rPr>
          <w:rFonts w:ascii="Calibri" w:hAnsi="Calibri"/>
          <w:color w:val="262626" w:themeColor="text1" w:themeTint="D9"/>
        </w:rPr>
      </w:pPr>
      <w:r w:rsidRPr="00F73C3A">
        <w:rPr>
          <w:rFonts w:ascii="Calibri" w:hAnsi="Calibri"/>
          <w:color w:val="262626" w:themeColor="text1" w:themeTint="D9"/>
        </w:rPr>
        <w:t>Where any project cost incurred has a residual value to the applicant at the conclusion of a project, or a scrap recovery value applies, only a proportion of that project cost may be considered eligible for grant support. In the case of Capital equipment that eligible proportion will be equivalent to the depreciation charge over the life of the project.  </w:t>
      </w:r>
    </w:p>
    <w:p w:rsidR="00492535" w:rsidRPr="00F73C3A" w:rsidRDefault="0019400B" w:rsidP="00055243">
      <w:pPr>
        <w:rPr>
          <w:rFonts w:ascii="Calibri" w:hAnsi="Calibri"/>
          <w:color w:val="262626" w:themeColor="text1" w:themeTint="D9"/>
        </w:rPr>
      </w:pPr>
      <w:r w:rsidRPr="00F73C3A">
        <w:rPr>
          <w:rFonts w:ascii="Calibri" w:hAnsi="Calibri"/>
          <w:color w:val="262626" w:themeColor="text1" w:themeTint="D9"/>
        </w:rPr>
        <w:t>Further details of el</w:t>
      </w:r>
      <w:r w:rsidR="0015325B" w:rsidRPr="00F73C3A">
        <w:rPr>
          <w:rFonts w:ascii="Calibri" w:hAnsi="Calibri"/>
          <w:color w:val="262626" w:themeColor="text1" w:themeTint="D9"/>
        </w:rPr>
        <w:t>igible costs for R&amp;D projects are</w:t>
      </w:r>
      <w:r w:rsidRPr="00F73C3A">
        <w:rPr>
          <w:rFonts w:ascii="Calibri" w:hAnsi="Calibri"/>
          <w:color w:val="262626" w:themeColor="text1" w:themeTint="D9"/>
        </w:rPr>
        <w:t xml:space="preserve"> included at Annex D.</w:t>
      </w:r>
    </w:p>
    <w:p w:rsidR="002F676D" w:rsidRPr="00F73C3A" w:rsidRDefault="0019400B" w:rsidP="002F676D">
      <w:pPr>
        <w:pStyle w:val="Heading3"/>
        <w:rPr>
          <w:rFonts w:ascii="Calibri" w:hAnsi="Calibri"/>
          <w:color w:val="262626" w:themeColor="text1" w:themeTint="D9"/>
        </w:rPr>
      </w:pPr>
      <w:bookmarkStart w:id="47" w:name="_Toc349307608"/>
      <w:bookmarkStart w:id="48" w:name="_Toc349307757"/>
      <w:bookmarkStart w:id="49" w:name="_Toc349308190"/>
      <w:bookmarkStart w:id="50" w:name="_Toc349308267"/>
      <w:bookmarkStart w:id="51" w:name="_Toc349308375"/>
      <w:bookmarkStart w:id="52" w:name="_Toc349308468"/>
      <w:r w:rsidRPr="00F73C3A">
        <w:rPr>
          <w:rFonts w:ascii="Calibri" w:hAnsi="Calibri"/>
          <w:color w:val="262626" w:themeColor="text1" w:themeTint="D9"/>
        </w:rPr>
        <w:t>Training costs</w:t>
      </w:r>
      <w:bookmarkEnd w:id="47"/>
      <w:bookmarkEnd w:id="48"/>
      <w:bookmarkEnd w:id="49"/>
      <w:bookmarkEnd w:id="50"/>
      <w:bookmarkEnd w:id="51"/>
      <w:bookmarkEnd w:id="52"/>
    </w:p>
    <w:p w:rsidR="002F676D" w:rsidRPr="00F73C3A" w:rsidRDefault="002F676D" w:rsidP="00055243">
      <w:pPr>
        <w:rPr>
          <w:rFonts w:ascii="Calibri" w:hAnsi="Calibri"/>
          <w:color w:val="262626" w:themeColor="text1" w:themeTint="D9"/>
        </w:rPr>
      </w:pPr>
      <w:r w:rsidRPr="00F73C3A">
        <w:rPr>
          <w:rFonts w:ascii="Calibri" w:hAnsi="Calibri"/>
          <w:color w:val="262626" w:themeColor="text1" w:themeTint="D9"/>
        </w:rPr>
        <w:t xml:space="preserve">In exceptional cases, </w:t>
      </w:r>
      <w:r w:rsidR="00B51490" w:rsidRPr="00F73C3A">
        <w:rPr>
          <w:rFonts w:ascii="Calibri" w:hAnsi="Calibri"/>
          <w:color w:val="262626" w:themeColor="text1" w:themeTint="D9"/>
        </w:rPr>
        <w:t>CGF</w:t>
      </w:r>
      <w:r w:rsidRPr="00F73C3A">
        <w:rPr>
          <w:rFonts w:ascii="Calibri" w:hAnsi="Calibri"/>
          <w:color w:val="262626" w:themeColor="text1" w:themeTint="D9"/>
        </w:rPr>
        <w:t xml:space="preserve"> may consider supporting training costs associated with a</w:t>
      </w:r>
      <w:r w:rsidR="00A400E5" w:rsidRPr="00F73C3A">
        <w:rPr>
          <w:rFonts w:ascii="Calibri" w:hAnsi="Calibri"/>
          <w:color w:val="262626" w:themeColor="text1" w:themeTint="D9"/>
        </w:rPr>
        <w:t>n investment</w:t>
      </w:r>
      <w:r w:rsidRPr="00F73C3A">
        <w:rPr>
          <w:rFonts w:ascii="Calibri" w:hAnsi="Calibri"/>
          <w:color w:val="262626" w:themeColor="text1" w:themeTint="D9"/>
        </w:rPr>
        <w:t xml:space="preserve"> project</w:t>
      </w:r>
      <w:r w:rsidR="00BA1B8C" w:rsidRPr="00F73C3A">
        <w:rPr>
          <w:rFonts w:ascii="Calibri" w:hAnsi="Calibri"/>
          <w:color w:val="262626" w:themeColor="text1" w:themeTint="D9"/>
        </w:rPr>
        <w:t xml:space="preserve"> which will create new jobs</w:t>
      </w:r>
      <w:r w:rsidR="00B51490" w:rsidRPr="00F73C3A">
        <w:rPr>
          <w:rFonts w:ascii="Calibri" w:hAnsi="Calibri"/>
          <w:color w:val="262626" w:themeColor="text1" w:themeTint="D9"/>
        </w:rPr>
        <w:t xml:space="preserve"> but </w:t>
      </w:r>
      <w:r w:rsidR="00350BB4" w:rsidRPr="00F73C3A">
        <w:rPr>
          <w:rFonts w:ascii="Calibri" w:hAnsi="Calibri"/>
          <w:color w:val="262626" w:themeColor="text1" w:themeTint="D9"/>
        </w:rPr>
        <w:t>training which is carried out to comply with national mandatory standards will not be supported.</w:t>
      </w:r>
    </w:p>
    <w:p w:rsidR="002F676D" w:rsidRPr="00F73C3A" w:rsidRDefault="002F676D" w:rsidP="00055243">
      <w:pPr>
        <w:rPr>
          <w:rFonts w:ascii="Calibri" w:hAnsi="Calibri"/>
          <w:color w:val="262626" w:themeColor="text1" w:themeTint="D9"/>
        </w:rPr>
      </w:pPr>
      <w:r w:rsidRPr="00F73C3A">
        <w:rPr>
          <w:rFonts w:ascii="Calibri" w:hAnsi="Calibri"/>
          <w:color w:val="262626" w:themeColor="text1" w:themeTint="D9"/>
        </w:rPr>
        <w:t>The eligible cost</w:t>
      </w:r>
      <w:r w:rsidR="00B51490" w:rsidRPr="00F73C3A">
        <w:rPr>
          <w:rFonts w:ascii="Calibri" w:hAnsi="Calibri"/>
          <w:color w:val="262626" w:themeColor="text1" w:themeTint="D9"/>
        </w:rPr>
        <w:t>s of a training project are</w:t>
      </w:r>
      <w:r w:rsidRPr="00F73C3A">
        <w:rPr>
          <w:rFonts w:ascii="Calibri" w:hAnsi="Calibri"/>
          <w:color w:val="262626" w:themeColor="text1" w:themeTint="D9"/>
        </w:rPr>
        <w:t>:</w:t>
      </w:r>
    </w:p>
    <w:p w:rsidR="00DF103D" w:rsidRPr="00F73C3A" w:rsidRDefault="00B16860" w:rsidP="00F61707">
      <w:pPr>
        <w:pStyle w:val="ListParagraph"/>
        <w:numPr>
          <w:ilvl w:val="0"/>
          <w:numId w:val="44"/>
        </w:numPr>
        <w:rPr>
          <w:rFonts w:ascii="Calibri" w:hAnsi="Calibri"/>
          <w:color w:val="262626" w:themeColor="text1" w:themeTint="D9"/>
        </w:rPr>
      </w:pPr>
      <w:r w:rsidRPr="00F73C3A">
        <w:rPr>
          <w:rFonts w:ascii="Calibri" w:hAnsi="Calibri"/>
          <w:color w:val="262626" w:themeColor="text1" w:themeTint="D9"/>
        </w:rPr>
        <w:t>T</w:t>
      </w:r>
      <w:r w:rsidR="00DF103D" w:rsidRPr="00F73C3A">
        <w:rPr>
          <w:rFonts w:ascii="Calibri" w:hAnsi="Calibri"/>
          <w:color w:val="262626" w:themeColor="text1" w:themeTint="D9"/>
        </w:rPr>
        <w:t>rainers' personnel costs, for the hours during which the train</w:t>
      </w:r>
      <w:r w:rsidR="00B51490" w:rsidRPr="00F73C3A">
        <w:rPr>
          <w:rFonts w:ascii="Calibri" w:hAnsi="Calibri"/>
          <w:color w:val="262626" w:themeColor="text1" w:themeTint="D9"/>
        </w:rPr>
        <w:t>ers participate in the training</w:t>
      </w:r>
    </w:p>
    <w:p w:rsidR="00DF103D" w:rsidRPr="00F73C3A" w:rsidRDefault="00B16860" w:rsidP="00F61707">
      <w:pPr>
        <w:pStyle w:val="ListParagraph"/>
        <w:numPr>
          <w:ilvl w:val="0"/>
          <w:numId w:val="44"/>
        </w:numPr>
        <w:rPr>
          <w:rFonts w:ascii="Calibri" w:hAnsi="Calibri"/>
          <w:color w:val="262626" w:themeColor="text1" w:themeTint="D9"/>
        </w:rPr>
      </w:pPr>
      <w:r w:rsidRPr="00F73C3A">
        <w:rPr>
          <w:rFonts w:ascii="Calibri" w:hAnsi="Calibri"/>
          <w:color w:val="262626" w:themeColor="text1" w:themeTint="D9"/>
        </w:rPr>
        <w:t>T</w:t>
      </w:r>
      <w:r w:rsidR="00DF103D" w:rsidRPr="00F73C3A">
        <w:rPr>
          <w:rFonts w:ascii="Calibri" w:hAnsi="Calibri"/>
          <w:color w:val="262626" w:themeColor="text1" w:themeTint="D9"/>
        </w:rPr>
        <w:t>rainers' and trainees' operating costs directly relating to the training project such as travel expenses, materials and supplies directly related to the project, depreciation of tools and equipment, to the extent that they are used exclusively for the training project</w:t>
      </w:r>
      <w:r w:rsidR="00B51490" w:rsidRPr="00F73C3A">
        <w:rPr>
          <w:rFonts w:ascii="Calibri" w:hAnsi="Calibri"/>
          <w:color w:val="262626" w:themeColor="text1" w:themeTint="D9"/>
        </w:rPr>
        <w:t xml:space="preserve"> (a</w:t>
      </w:r>
      <w:r w:rsidR="00DF103D" w:rsidRPr="00F73C3A">
        <w:rPr>
          <w:rFonts w:ascii="Calibri" w:hAnsi="Calibri"/>
          <w:color w:val="262626" w:themeColor="text1" w:themeTint="D9"/>
        </w:rPr>
        <w:t>ccommodation costs are excluded except for the minimum necessary accommodation costs for trainees wh</w:t>
      </w:r>
      <w:r w:rsidR="00B51490" w:rsidRPr="00F73C3A">
        <w:rPr>
          <w:rFonts w:ascii="Calibri" w:hAnsi="Calibri"/>
          <w:color w:val="262626" w:themeColor="text1" w:themeTint="D9"/>
        </w:rPr>
        <w:t>o are workers with disabilities)</w:t>
      </w:r>
    </w:p>
    <w:p w:rsidR="00DF103D" w:rsidRPr="00F73C3A" w:rsidRDefault="00B16860" w:rsidP="00F61707">
      <w:pPr>
        <w:pStyle w:val="ListParagraph"/>
        <w:numPr>
          <w:ilvl w:val="0"/>
          <w:numId w:val="44"/>
        </w:numPr>
        <w:rPr>
          <w:rFonts w:ascii="Calibri" w:hAnsi="Calibri"/>
          <w:color w:val="262626" w:themeColor="text1" w:themeTint="D9"/>
        </w:rPr>
      </w:pPr>
      <w:r w:rsidRPr="00F73C3A">
        <w:rPr>
          <w:rFonts w:ascii="Calibri" w:hAnsi="Calibri"/>
          <w:color w:val="262626" w:themeColor="text1" w:themeTint="D9"/>
        </w:rPr>
        <w:t>C</w:t>
      </w:r>
      <w:r w:rsidR="00DF103D" w:rsidRPr="00F73C3A">
        <w:rPr>
          <w:rFonts w:ascii="Calibri" w:hAnsi="Calibri"/>
          <w:color w:val="262626" w:themeColor="text1" w:themeTint="D9"/>
        </w:rPr>
        <w:t>ost of advisory services</w:t>
      </w:r>
      <w:r w:rsidRPr="00F73C3A">
        <w:rPr>
          <w:rFonts w:ascii="Calibri" w:hAnsi="Calibri"/>
          <w:color w:val="262626" w:themeColor="text1" w:themeTint="D9"/>
        </w:rPr>
        <w:t xml:space="preserve"> linked to the training project</w:t>
      </w:r>
    </w:p>
    <w:p w:rsidR="00FC02A8" w:rsidRPr="00F73C3A" w:rsidRDefault="00B16860" w:rsidP="00F61707">
      <w:pPr>
        <w:pStyle w:val="ListParagraph"/>
        <w:numPr>
          <w:ilvl w:val="0"/>
          <w:numId w:val="44"/>
        </w:numPr>
        <w:rPr>
          <w:rFonts w:ascii="Calibri" w:hAnsi="Calibri"/>
          <w:color w:val="262626" w:themeColor="text1" w:themeTint="D9"/>
        </w:rPr>
      </w:pPr>
      <w:r w:rsidRPr="00F73C3A">
        <w:rPr>
          <w:rFonts w:ascii="Calibri" w:hAnsi="Calibri"/>
          <w:color w:val="262626" w:themeColor="text1" w:themeTint="D9"/>
        </w:rPr>
        <w:t>T</w:t>
      </w:r>
      <w:r w:rsidR="00DF103D" w:rsidRPr="00F73C3A">
        <w:rPr>
          <w:rFonts w:ascii="Calibri" w:hAnsi="Calibri"/>
          <w:color w:val="262626" w:themeColor="text1" w:themeTint="D9"/>
        </w:rPr>
        <w:t>rainees' personnel costs and general indirect costs (administrative costs, rent, overheads) for the hours during which the train</w:t>
      </w:r>
      <w:r w:rsidR="00B51490" w:rsidRPr="00F73C3A">
        <w:rPr>
          <w:rFonts w:ascii="Calibri" w:hAnsi="Calibri"/>
          <w:color w:val="262626" w:themeColor="text1" w:themeTint="D9"/>
        </w:rPr>
        <w:t>ees participate in the training</w:t>
      </w:r>
    </w:p>
    <w:p w:rsidR="004F4EE7" w:rsidRPr="00F73C3A" w:rsidRDefault="004F4EE7" w:rsidP="004F4EE7">
      <w:pPr>
        <w:rPr>
          <w:rFonts w:ascii="Calibri" w:hAnsi="Calibri"/>
          <w:color w:val="262626" w:themeColor="text1" w:themeTint="D9"/>
        </w:rPr>
      </w:pPr>
      <w:r w:rsidRPr="00F73C3A">
        <w:rPr>
          <w:rFonts w:ascii="Calibri" w:hAnsi="Calibri"/>
          <w:color w:val="262626" w:themeColor="text1" w:themeTint="D9"/>
        </w:rPr>
        <w:t>Training which could be funded under ESF will not be eligible.</w:t>
      </w:r>
    </w:p>
    <w:p w:rsidR="00FC02A8" w:rsidRPr="00F73C3A" w:rsidRDefault="00FC02A8" w:rsidP="00FC02A8">
      <w:pPr>
        <w:pStyle w:val="Heading3"/>
        <w:rPr>
          <w:rFonts w:ascii="Calibri" w:hAnsi="Calibri"/>
          <w:color w:val="262626" w:themeColor="text1" w:themeTint="D9"/>
        </w:rPr>
      </w:pPr>
      <w:r w:rsidRPr="00F73C3A">
        <w:rPr>
          <w:rFonts w:ascii="Calibri" w:hAnsi="Calibri"/>
          <w:color w:val="262626" w:themeColor="text1" w:themeTint="D9"/>
        </w:rPr>
        <w:t>Aid to disadvantaged or disabled workers</w:t>
      </w:r>
    </w:p>
    <w:p w:rsidR="00FC02A8" w:rsidRPr="00F73C3A" w:rsidRDefault="00FC02A8" w:rsidP="00FC02A8">
      <w:pPr>
        <w:rPr>
          <w:rFonts w:ascii="Calibri" w:hAnsi="Calibri"/>
          <w:color w:val="262626" w:themeColor="text1" w:themeTint="D9"/>
        </w:rPr>
      </w:pPr>
      <w:r w:rsidRPr="00F73C3A">
        <w:rPr>
          <w:rFonts w:ascii="Calibri" w:hAnsi="Calibri"/>
          <w:color w:val="262626" w:themeColor="text1" w:themeTint="D9"/>
        </w:rPr>
        <w:t>In exceptional cases</w:t>
      </w:r>
      <w:r w:rsidR="00B51490" w:rsidRPr="00F73C3A">
        <w:rPr>
          <w:rFonts w:ascii="Calibri" w:hAnsi="Calibri"/>
          <w:color w:val="262626" w:themeColor="text1" w:themeTint="D9"/>
        </w:rPr>
        <w:t xml:space="preserve"> CGF </w:t>
      </w:r>
      <w:r w:rsidRPr="00F73C3A">
        <w:rPr>
          <w:rFonts w:ascii="Calibri" w:hAnsi="Calibri"/>
          <w:color w:val="262626" w:themeColor="text1" w:themeTint="D9"/>
        </w:rPr>
        <w:t>may consider supporting up to 50% of the first twelve months</w:t>
      </w:r>
      <w:r w:rsidR="00B51490" w:rsidRPr="00F73C3A">
        <w:rPr>
          <w:rFonts w:ascii="Calibri" w:hAnsi="Calibri"/>
          <w:color w:val="262626" w:themeColor="text1" w:themeTint="D9"/>
        </w:rPr>
        <w:t>’</w:t>
      </w:r>
      <w:r w:rsidRPr="00F73C3A">
        <w:rPr>
          <w:rFonts w:ascii="Calibri" w:hAnsi="Calibri"/>
          <w:color w:val="262626" w:themeColor="text1" w:themeTint="D9"/>
        </w:rPr>
        <w:t xml:space="preserve"> salary costs for newly created jobs filled by employees who are either a disadvantaged or disabled worker as defined in Annex A.</w:t>
      </w:r>
      <w:r w:rsidR="00B51490" w:rsidRPr="00F73C3A">
        <w:rPr>
          <w:rFonts w:ascii="Calibri" w:hAnsi="Calibri"/>
          <w:color w:val="262626" w:themeColor="text1" w:themeTint="D9"/>
        </w:rPr>
        <w:t xml:space="preserve"> </w:t>
      </w:r>
    </w:p>
    <w:p w:rsidR="000011CF" w:rsidRPr="00F73C3A" w:rsidRDefault="000011CF" w:rsidP="0002758E">
      <w:pPr>
        <w:pStyle w:val="Heading2"/>
        <w:rPr>
          <w:rFonts w:ascii="Calibri" w:hAnsi="Calibri"/>
          <w:color w:val="262626" w:themeColor="text1" w:themeTint="D9"/>
        </w:rPr>
      </w:pPr>
      <w:bookmarkStart w:id="53" w:name="_Toc349308469"/>
      <w:r w:rsidRPr="00F73C3A">
        <w:rPr>
          <w:rFonts w:ascii="Calibri" w:hAnsi="Calibri"/>
          <w:color w:val="262626" w:themeColor="text1" w:themeTint="D9"/>
        </w:rPr>
        <w:t>Creation or safeguarding of jobs</w:t>
      </w:r>
      <w:bookmarkEnd w:id="53"/>
    </w:p>
    <w:p w:rsidR="000011CF" w:rsidRPr="00F73C3A" w:rsidRDefault="000011CF" w:rsidP="004B5BDB">
      <w:pPr>
        <w:autoSpaceDE w:val="0"/>
        <w:autoSpaceDN w:val="0"/>
        <w:adjustRightInd w:val="0"/>
        <w:rPr>
          <w:rFonts w:ascii="Calibri" w:hAnsi="Calibri" w:cs="Arial"/>
          <w:color w:val="262626" w:themeColor="text1" w:themeTint="D9"/>
        </w:rPr>
      </w:pPr>
      <w:r w:rsidRPr="00F73C3A">
        <w:rPr>
          <w:rFonts w:ascii="Calibri" w:hAnsi="Calibri" w:cs="Arial"/>
          <w:color w:val="262626" w:themeColor="text1" w:themeTint="D9"/>
          <w:szCs w:val="20"/>
          <w:lang w:val="en-US"/>
        </w:rPr>
        <w:t xml:space="preserve">All investment projects must create or safeguard sustainable </w:t>
      </w:r>
      <w:r w:rsidR="00B51490" w:rsidRPr="00F73C3A">
        <w:rPr>
          <w:rFonts w:ascii="Calibri" w:hAnsi="Calibri" w:cs="Arial"/>
          <w:color w:val="262626" w:themeColor="text1" w:themeTint="D9"/>
          <w:szCs w:val="20"/>
          <w:lang w:val="en-US"/>
        </w:rPr>
        <w:t xml:space="preserve">direct </w:t>
      </w:r>
      <w:r w:rsidRPr="00F73C3A">
        <w:rPr>
          <w:rFonts w:ascii="Calibri" w:hAnsi="Calibri" w:cs="Arial"/>
          <w:color w:val="262626" w:themeColor="text1" w:themeTint="D9"/>
          <w:szCs w:val="20"/>
          <w:lang w:val="en-US"/>
        </w:rPr>
        <w:t>jobs</w:t>
      </w:r>
      <w:r w:rsidR="00B51490" w:rsidRPr="00F73C3A">
        <w:rPr>
          <w:rFonts w:ascii="Calibri" w:hAnsi="Calibri" w:cs="Arial"/>
          <w:color w:val="262626" w:themeColor="text1" w:themeTint="D9"/>
          <w:szCs w:val="20"/>
          <w:lang w:val="en-US"/>
        </w:rPr>
        <w:t>, normally</w:t>
      </w:r>
      <w:r w:rsidR="00A400E5" w:rsidRPr="00F73C3A">
        <w:rPr>
          <w:rFonts w:ascii="Calibri" w:hAnsi="Calibri" w:cs="Arial"/>
          <w:color w:val="262626" w:themeColor="text1" w:themeTint="D9"/>
          <w:szCs w:val="20"/>
          <w:lang w:val="en-US"/>
        </w:rPr>
        <w:t xml:space="preserve"> within the applicant </w:t>
      </w:r>
      <w:r w:rsidR="00B51490" w:rsidRPr="00F73C3A">
        <w:rPr>
          <w:rFonts w:ascii="Calibri" w:hAnsi="Calibri" w:cs="Arial"/>
          <w:color w:val="262626" w:themeColor="text1" w:themeTint="D9"/>
          <w:szCs w:val="20"/>
          <w:lang w:val="en-US"/>
        </w:rPr>
        <w:t>business</w:t>
      </w:r>
      <w:r w:rsidRPr="00F73C3A">
        <w:rPr>
          <w:rFonts w:ascii="Calibri" w:hAnsi="Calibri" w:cs="Arial"/>
          <w:color w:val="262626" w:themeColor="text1" w:themeTint="D9"/>
          <w:szCs w:val="20"/>
          <w:lang w:val="en-US"/>
        </w:rPr>
        <w:t>.</w:t>
      </w:r>
      <w:r w:rsidRPr="00F73C3A">
        <w:rPr>
          <w:rFonts w:ascii="Calibri" w:hAnsi="Calibri" w:cs="Arial"/>
          <w:color w:val="262626" w:themeColor="text1" w:themeTint="D9"/>
        </w:rPr>
        <w:t xml:space="preserve"> Priority will be given to projects which create new permanent jobs. For safeguarded jobs, the applicant must be clearly able to </w:t>
      </w:r>
      <w:r w:rsidRPr="00F73C3A">
        <w:rPr>
          <w:rFonts w:ascii="Calibri" w:hAnsi="Calibri" w:cs="Arial"/>
          <w:color w:val="262626" w:themeColor="text1" w:themeTint="D9"/>
        </w:rPr>
        <w:lastRenderedPageBreak/>
        <w:t>demonstrate that the jobs are at imminent risk</w:t>
      </w:r>
      <w:r w:rsidR="00981B48" w:rsidRPr="00F73C3A">
        <w:rPr>
          <w:rFonts w:ascii="Calibri" w:hAnsi="Calibri" w:cs="Arial"/>
          <w:color w:val="262626" w:themeColor="text1" w:themeTint="D9"/>
        </w:rPr>
        <w:t xml:space="preserve"> (within the next twelve months)</w:t>
      </w:r>
      <w:r w:rsidR="00B51490" w:rsidRPr="00F73C3A">
        <w:rPr>
          <w:rFonts w:ascii="Calibri" w:hAnsi="Calibri" w:cs="Arial"/>
          <w:color w:val="262626" w:themeColor="text1" w:themeTint="D9"/>
        </w:rPr>
        <w:t xml:space="preserve"> if the p</w:t>
      </w:r>
      <w:r w:rsidRPr="00F73C3A">
        <w:rPr>
          <w:rFonts w:ascii="Calibri" w:hAnsi="Calibri" w:cs="Arial"/>
          <w:color w:val="262626" w:themeColor="text1" w:themeTint="D9"/>
        </w:rPr>
        <w:t>roject does not go ahead.</w:t>
      </w:r>
      <w:r w:rsidR="00A400E5" w:rsidRPr="00F73C3A">
        <w:rPr>
          <w:rFonts w:ascii="Calibri" w:hAnsi="Calibri" w:cs="Arial"/>
          <w:color w:val="262626" w:themeColor="text1" w:themeTint="D9"/>
        </w:rPr>
        <w:t xml:space="preserve"> Indirect jobs created within the supply chain will not be taken into account.</w:t>
      </w:r>
    </w:p>
    <w:p w:rsidR="000011CF" w:rsidRPr="00F73C3A" w:rsidRDefault="000011CF" w:rsidP="004B5BDB">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Projects which are likely to create over-capacity and/or displace jobs</w:t>
      </w:r>
      <w:r w:rsidR="004222AD"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from elsewhere in the UK do not qualify for aid.</w:t>
      </w:r>
      <w:r w:rsidR="004222AD" w:rsidRPr="00F73C3A">
        <w:rPr>
          <w:rFonts w:ascii="Calibri" w:hAnsi="Calibri" w:cs="Arial"/>
          <w:color w:val="262626" w:themeColor="text1" w:themeTint="D9"/>
          <w:szCs w:val="20"/>
          <w:lang w:val="en-US"/>
        </w:rPr>
        <w:t xml:space="preserve"> </w:t>
      </w:r>
      <w:r w:rsidR="00BA1B8C" w:rsidRPr="00F73C3A">
        <w:rPr>
          <w:rFonts w:ascii="Calibri" w:hAnsi="Calibri" w:cs="Arial"/>
          <w:color w:val="262626" w:themeColor="text1" w:themeTint="D9"/>
          <w:szCs w:val="20"/>
          <w:lang w:val="en-US"/>
        </w:rPr>
        <w:t xml:space="preserve"> </w:t>
      </w:r>
    </w:p>
    <w:p w:rsidR="000011CF" w:rsidRPr="00F73C3A" w:rsidRDefault="000011CF" w:rsidP="004222AD">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 xml:space="preserve">The ratio of grant to jobs created/safeguarded </w:t>
      </w:r>
      <w:r w:rsidR="00A400E5" w:rsidRPr="00F73C3A">
        <w:rPr>
          <w:rFonts w:ascii="Calibri" w:hAnsi="Calibri" w:cs="Arial"/>
          <w:color w:val="262626" w:themeColor="text1" w:themeTint="D9"/>
          <w:szCs w:val="20"/>
          <w:lang w:val="en-US"/>
        </w:rPr>
        <w:t>will be taken into account in assessing value for money.</w:t>
      </w:r>
    </w:p>
    <w:p w:rsidR="000011CF" w:rsidRPr="00F73C3A" w:rsidRDefault="000011CF">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Where aid is calculated on the basis of the investment cost of a project</w:t>
      </w:r>
      <w:r w:rsidR="004B5BDB" w:rsidRPr="00F73C3A">
        <w:rPr>
          <w:rFonts w:ascii="Calibri" w:hAnsi="Calibri" w:cs="Arial"/>
          <w:color w:val="262626" w:themeColor="text1" w:themeTint="D9"/>
          <w:szCs w:val="20"/>
          <w:lang w:val="en-US"/>
        </w:rPr>
        <w:t xml:space="preserve">, </w:t>
      </w:r>
      <w:r w:rsidR="00B51490" w:rsidRPr="00F73C3A">
        <w:rPr>
          <w:rFonts w:ascii="Calibri" w:hAnsi="Calibri" w:cs="Arial"/>
          <w:color w:val="262626" w:themeColor="text1" w:themeTint="D9"/>
          <w:szCs w:val="20"/>
          <w:lang w:val="en-US"/>
        </w:rPr>
        <w:t xml:space="preserve">the intention must be that </w:t>
      </w:r>
      <w:r w:rsidRPr="00F73C3A">
        <w:rPr>
          <w:rFonts w:ascii="Calibri" w:hAnsi="Calibri" w:cs="Arial"/>
          <w:color w:val="262626" w:themeColor="text1" w:themeTint="D9"/>
          <w:szCs w:val="20"/>
          <w:lang w:val="en-US"/>
        </w:rPr>
        <w:t xml:space="preserve">the jobs created/safeguarded by the project </w:t>
      </w:r>
      <w:r w:rsidR="00B51490" w:rsidRPr="00F73C3A">
        <w:rPr>
          <w:rFonts w:ascii="Calibri" w:hAnsi="Calibri" w:cs="Arial"/>
          <w:color w:val="262626" w:themeColor="text1" w:themeTint="D9"/>
          <w:szCs w:val="20"/>
          <w:lang w:val="en-US"/>
        </w:rPr>
        <w:t>will be maintained for a minimum of five</w:t>
      </w:r>
      <w:r w:rsidRPr="00F73C3A">
        <w:rPr>
          <w:rFonts w:ascii="Calibri" w:hAnsi="Calibri" w:cs="Arial"/>
          <w:color w:val="262626" w:themeColor="text1" w:themeTint="D9"/>
          <w:szCs w:val="20"/>
          <w:lang w:val="en-US"/>
        </w:rPr>
        <w:t xml:space="preserve"> years (</w:t>
      </w:r>
      <w:r w:rsidR="00B51490" w:rsidRPr="00F73C3A">
        <w:rPr>
          <w:rFonts w:ascii="Calibri" w:hAnsi="Calibri" w:cs="Arial"/>
          <w:color w:val="262626" w:themeColor="text1" w:themeTint="D9"/>
          <w:szCs w:val="20"/>
          <w:lang w:val="en-US"/>
        </w:rPr>
        <w:t xml:space="preserve">three </w:t>
      </w:r>
      <w:r w:rsidRPr="00F73C3A">
        <w:rPr>
          <w:rFonts w:ascii="Calibri" w:hAnsi="Calibri" w:cs="Arial"/>
          <w:color w:val="262626" w:themeColor="text1" w:themeTint="D9"/>
          <w:szCs w:val="20"/>
          <w:lang w:val="en-US"/>
        </w:rPr>
        <w:t xml:space="preserve">years for SMEs) after the </w:t>
      </w:r>
      <w:r w:rsidR="00460BAC" w:rsidRPr="00F73C3A">
        <w:rPr>
          <w:rFonts w:ascii="Calibri" w:hAnsi="Calibri" w:cs="Arial"/>
          <w:color w:val="262626" w:themeColor="text1" w:themeTint="D9"/>
          <w:szCs w:val="20"/>
          <w:lang w:val="en-US"/>
        </w:rPr>
        <w:t>whole investment has been completed.</w:t>
      </w:r>
    </w:p>
    <w:p w:rsidR="000011CF" w:rsidRPr="00F73C3A" w:rsidRDefault="000011CF">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Where aid is calculated on the basis of wage costs EC State Aid rules</w:t>
      </w:r>
      <w:r w:rsidR="004B5BDB"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 xml:space="preserve">specify that the job creation associated with the project must occur within three years of project completion (see Annex </w:t>
      </w:r>
      <w:r w:rsidR="0015325B" w:rsidRPr="00F73C3A">
        <w:rPr>
          <w:rFonts w:ascii="Calibri" w:hAnsi="Calibri" w:cs="Arial"/>
          <w:color w:val="262626" w:themeColor="text1" w:themeTint="D9"/>
          <w:szCs w:val="20"/>
          <w:lang w:val="en-US"/>
        </w:rPr>
        <w:t>A</w:t>
      </w:r>
      <w:r w:rsidRPr="00F73C3A">
        <w:rPr>
          <w:rFonts w:ascii="Calibri" w:hAnsi="Calibri" w:cs="Arial"/>
          <w:color w:val="262626" w:themeColor="text1" w:themeTint="D9"/>
          <w:szCs w:val="20"/>
          <w:lang w:val="en-US"/>
        </w:rPr>
        <w:t>) and each job must be maintained for a minimum period of five years in the case of employment by a large company and three years in the case of employment by a SME.</w:t>
      </w:r>
    </w:p>
    <w:p w:rsidR="000011CF" w:rsidRPr="00F73C3A" w:rsidRDefault="00460BAC">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 xml:space="preserve">The </w:t>
      </w:r>
      <w:r w:rsidR="00612905" w:rsidRPr="00F73C3A">
        <w:rPr>
          <w:rFonts w:ascii="Calibri" w:hAnsi="Calibri" w:cs="Arial"/>
          <w:color w:val="262626" w:themeColor="text1" w:themeTint="D9"/>
          <w:szCs w:val="20"/>
          <w:lang w:val="en-US"/>
        </w:rPr>
        <w:t>Cumbria Growth Fund</w:t>
      </w:r>
      <w:r w:rsidRPr="00F73C3A">
        <w:rPr>
          <w:rFonts w:ascii="Calibri" w:hAnsi="Calibri" w:cs="Arial"/>
          <w:color w:val="262626" w:themeColor="text1" w:themeTint="D9"/>
          <w:szCs w:val="20"/>
          <w:lang w:val="en-US"/>
        </w:rPr>
        <w:t xml:space="preserve"> programme will favour projects which create highly skilled sustainable jobs.</w:t>
      </w:r>
    </w:p>
    <w:p w:rsidR="00522BCB" w:rsidRPr="00F73C3A" w:rsidRDefault="00460BAC">
      <w:pPr>
        <w:autoSpaceDE w:val="0"/>
        <w:autoSpaceDN w:val="0"/>
        <w:adjustRightInd w:val="0"/>
        <w:rPr>
          <w:rFonts w:ascii="Calibri" w:hAnsi="Calibri" w:cs="Arial"/>
          <w:color w:val="262626" w:themeColor="text1" w:themeTint="D9"/>
        </w:rPr>
      </w:pPr>
      <w:r w:rsidRPr="00F73C3A">
        <w:rPr>
          <w:rFonts w:ascii="Calibri" w:hAnsi="Calibri" w:cs="Arial"/>
          <w:color w:val="262626" w:themeColor="text1" w:themeTint="D9"/>
        </w:rPr>
        <w:t xml:space="preserve">R&amp;D projects must be able to demonstrate a clear link to the creation or safeguarding of jobs within the applicant </w:t>
      </w:r>
      <w:r w:rsidR="00B51490" w:rsidRPr="00F73C3A">
        <w:rPr>
          <w:rFonts w:ascii="Calibri" w:hAnsi="Calibri" w:cs="Arial"/>
          <w:color w:val="262626" w:themeColor="text1" w:themeTint="D9"/>
        </w:rPr>
        <w:t>business</w:t>
      </w:r>
      <w:r w:rsidRPr="00F73C3A">
        <w:rPr>
          <w:rFonts w:ascii="Calibri" w:hAnsi="Calibri" w:cs="Arial"/>
          <w:color w:val="262626" w:themeColor="text1" w:themeTint="D9"/>
        </w:rPr>
        <w:t>.</w:t>
      </w:r>
    </w:p>
    <w:p w:rsidR="000011CF" w:rsidRPr="00F73C3A" w:rsidRDefault="000011CF" w:rsidP="0002758E">
      <w:pPr>
        <w:pStyle w:val="Heading2"/>
        <w:rPr>
          <w:rFonts w:ascii="Calibri" w:hAnsi="Calibri"/>
          <w:color w:val="262626" w:themeColor="text1" w:themeTint="D9"/>
        </w:rPr>
      </w:pPr>
      <w:bookmarkStart w:id="54" w:name="_Toc349308470"/>
      <w:r w:rsidRPr="00F73C3A">
        <w:rPr>
          <w:rFonts w:ascii="Calibri" w:hAnsi="Calibri"/>
          <w:color w:val="262626" w:themeColor="text1" w:themeTint="D9"/>
        </w:rPr>
        <w:t>Viability</w:t>
      </w:r>
      <w:bookmarkEnd w:id="54"/>
    </w:p>
    <w:p w:rsidR="00521D1E" w:rsidRPr="00F73C3A" w:rsidRDefault="00521D1E" w:rsidP="00521D1E">
      <w:pPr>
        <w:rPr>
          <w:rFonts w:ascii="Calibri" w:hAnsi="Calibri"/>
          <w:color w:val="262626" w:themeColor="text1" w:themeTint="D9"/>
        </w:rPr>
      </w:pPr>
      <w:r w:rsidRPr="00F73C3A">
        <w:rPr>
          <w:rFonts w:ascii="Calibri" w:hAnsi="Calibri"/>
          <w:color w:val="262626" w:themeColor="text1" w:themeTint="D9"/>
        </w:rPr>
        <w:t xml:space="preserve">The </w:t>
      </w:r>
      <w:r w:rsidR="00B51490" w:rsidRPr="00F73C3A">
        <w:rPr>
          <w:rFonts w:ascii="Calibri" w:hAnsi="Calibri"/>
          <w:color w:val="262626" w:themeColor="text1" w:themeTint="D9"/>
        </w:rPr>
        <w:t>business</w:t>
      </w:r>
      <w:r w:rsidRPr="00F73C3A">
        <w:rPr>
          <w:rFonts w:ascii="Calibri" w:hAnsi="Calibri"/>
          <w:color w:val="262626" w:themeColor="text1" w:themeTint="D9"/>
        </w:rPr>
        <w:t xml:space="preserve"> undertaking the investment project must be </w:t>
      </w:r>
      <w:r w:rsidR="00B51490" w:rsidRPr="00F73C3A">
        <w:rPr>
          <w:rFonts w:ascii="Calibri" w:hAnsi="Calibri"/>
          <w:color w:val="262626" w:themeColor="text1" w:themeTint="D9"/>
        </w:rPr>
        <w:t xml:space="preserve">able to demonstrate that it is </w:t>
      </w:r>
      <w:r w:rsidRPr="00F73C3A">
        <w:rPr>
          <w:rFonts w:ascii="Calibri" w:hAnsi="Calibri"/>
          <w:color w:val="262626" w:themeColor="text1" w:themeTint="D9"/>
        </w:rPr>
        <w:t>viable and the project must have a good chance of being self-sustaining by the completion of the investment.</w:t>
      </w:r>
    </w:p>
    <w:p w:rsidR="00521D1E" w:rsidRPr="00F73C3A" w:rsidRDefault="00612905" w:rsidP="00521D1E">
      <w:pPr>
        <w:rPr>
          <w:rFonts w:ascii="Calibri" w:hAnsi="Calibri"/>
          <w:color w:val="262626" w:themeColor="text1" w:themeTint="D9"/>
        </w:rPr>
      </w:pPr>
      <w:r w:rsidRPr="00F73C3A">
        <w:rPr>
          <w:rFonts w:ascii="Calibri" w:hAnsi="Calibri"/>
          <w:color w:val="262626" w:themeColor="text1" w:themeTint="D9"/>
        </w:rPr>
        <w:t>Cumbria Growth Fund</w:t>
      </w:r>
      <w:r w:rsidR="00521D1E" w:rsidRPr="00F73C3A">
        <w:rPr>
          <w:rFonts w:ascii="Calibri" w:hAnsi="Calibri"/>
          <w:color w:val="262626" w:themeColor="text1" w:themeTint="D9"/>
        </w:rPr>
        <w:t xml:space="preserve"> cannot be used to support undertakings or firms in difficulty</w:t>
      </w:r>
      <w:r w:rsidR="00981B48" w:rsidRPr="00F73C3A">
        <w:rPr>
          <w:rFonts w:ascii="Calibri" w:hAnsi="Calibri"/>
          <w:color w:val="262626" w:themeColor="text1" w:themeTint="D9"/>
        </w:rPr>
        <w:t>, unless the Chamber is satisfied that the project and company are viable</w:t>
      </w:r>
      <w:r w:rsidR="00521D1E" w:rsidRPr="00F73C3A">
        <w:rPr>
          <w:rFonts w:ascii="Calibri" w:hAnsi="Calibri"/>
          <w:color w:val="262626" w:themeColor="text1" w:themeTint="D9"/>
        </w:rPr>
        <w:t>.</w:t>
      </w:r>
      <w:r w:rsidR="00981B48" w:rsidRPr="00F73C3A">
        <w:rPr>
          <w:rFonts w:ascii="Calibri" w:hAnsi="Calibri"/>
          <w:color w:val="262626" w:themeColor="text1" w:themeTint="D9"/>
        </w:rPr>
        <w:t xml:space="preserve"> In such cases, support may be offered under the de minimis regulations.</w:t>
      </w:r>
      <w:r w:rsidR="00521D1E" w:rsidRPr="00F73C3A">
        <w:rPr>
          <w:rFonts w:ascii="Calibri" w:hAnsi="Calibri"/>
          <w:color w:val="262626" w:themeColor="text1" w:themeTint="D9"/>
        </w:rPr>
        <w:t xml:space="preserve"> A definition of a firm in difficulty is included at Annex A of these guidelines.  </w:t>
      </w:r>
      <w:r w:rsidRPr="00F73C3A">
        <w:rPr>
          <w:rFonts w:ascii="Calibri" w:hAnsi="Calibri"/>
          <w:color w:val="262626" w:themeColor="text1" w:themeTint="D9"/>
        </w:rPr>
        <w:t>Cumbria Growth Fund</w:t>
      </w:r>
      <w:r w:rsidR="00521D1E" w:rsidRPr="00F73C3A">
        <w:rPr>
          <w:rFonts w:ascii="Calibri" w:hAnsi="Calibri"/>
          <w:color w:val="262626" w:themeColor="text1" w:themeTint="D9"/>
        </w:rPr>
        <w:t xml:space="preserve"> grants will not be provided to any beneficiary (at a group level) which is subject to an outstanding recovery order following a previous Commission decision declaring an aid illegal and incompatible with the internal market.</w:t>
      </w:r>
    </w:p>
    <w:p w:rsidR="00521D1E" w:rsidRPr="00F73C3A" w:rsidRDefault="00521D1E" w:rsidP="00521D1E">
      <w:pPr>
        <w:rPr>
          <w:rFonts w:ascii="Calibri" w:hAnsi="Calibri"/>
          <w:color w:val="262626" w:themeColor="text1" w:themeTint="D9"/>
        </w:rPr>
      </w:pPr>
      <w:r w:rsidRPr="00F73C3A">
        <w:rPr>
          <w:rFonts w:ascii="Calibri" w:hAnsi="Calibri"/>
          <w:color w:val="262626" w:themeColor="text1" w:themeTint="D9"/>
        </w:rPr>
        <w:t>Further details to be considered when appraising viability are outlined in Part 3 of these guidelines.</w:t>
      </w:r>
    </w:p>
    <w:p w:rsidR="000011CF" w:rsidRPr="00F73C3A" w:rsidRDefault="000011CF" w:rsidP="0002758E">
      <w:pPr>
        <w:pStyle w:val="Heading2"/>
        <w:rPr>
          <w:rFonts w:ascii="Calibri" w:hAnsi="Calibri"/>
          <w:color w:val="262626" w:themeColor="text1" w:themeTint="D9"/>
        </w:rPr>
      </w:pPr>
      <w:bookmarkStart w:id="55" w:name="_Toc349308471"/>
      <w:r w:rsidRPr="00F73C3A">
        <w:rPr>
          <w:rFonts w:ascii="Calibri" w:hAnsi="Calibri"/>
          <w:color w:val="262626" w:themeColor="text1" w:themeTint="D9"/>
        </w:rPr>
        <w:t>Additionality</w:t>
      </w:r>
      <w:bookmarkEnd w:id="55"/>
    </w:p>
    <w:p w:rsidR="000011CF" w:rsidRPr="00F73C3A" w:rsidRDefault="000011CF" w:rsidP="00A6625D">
      <w:pPr>
        <w:rPr>
          <w:rFonts w:ascii="Calibri" w:hAnsi="Calibri"/>
          <w:color w:val="262626" w:themeColor="text1" w:themeTint="D9"/>
          <w:lang w:val="en-US"/>
        </w:rPr>
      </w:pPr>
      <w:r w:rsidRPr="00F73C3A">
        <w:rPr>
          <w:rFonts w:ascii="Calibri" w:hAnsi="Calibri"/>
          <w:color w:val="262626" w:themeColor="text1" w:themeTint="D9"/>
          <w:lang w:val="en-US"/>
        </w:rPr>
        <w:t xml:space="preserve">The applicant must be able to demonstrate convincingly that without </w:t>
      </w:r>
      <w:r w:rsidR="00612905" w:rsidRPr="00F73C3A">
        <w:rPr>
          <w:rFonts w:ascii="Calibri" w:hAnsi="Calibri"/>
          <w:color w:val="262626" w:themeColor="text1" w:themeTint="D9"/>
          <w:lang w:val="en-US"/>
        </w:rPr>
        <w:t>Cumbria Growth Fund</w:t>
      </w:r>
      <w:r w:rsidR="00A6625D" w:rsidRPr="00F73C3A">
        <w:rPr>
          <w:rFonts w:ascii="Calibri" w:hAnsi="Calibri"/>
          <w:color w:val="262626" w:themeColor="text1" w:themeTint="D9"/>
          <w:lang w:val="en-US"/>
        </w:rPr>
        <w:t xml:space="preserve"> </w:t>
      </w:r>
      <w:r w:rsidRPr="00F73C3A">
        <w:rPr>
          <w:rFonts w:ascii="Calibri" w:hAnsi="Calibri"/>
          <w:color w:val="262626" w:themeColor="text1" w:themeTint="D9"/>
          <w:lang w:val="en-US"/>
        </w:rPr>
        <w:t xml:space="preserve">assistance the project would not go ahead at all </w:t>
      </w:r>
      <w:r w:rsidR="00AC10D3" w:rsidRPr="00F73C3A">
        <w:rPr>
          <w:rFonts w:ascii="Calibri" w:hAnsi="Calibri"/>
          <w:color w:val="262626" w:themeColor="text1" w:themeTint="D9"/>
          <w:lang w:val="en-US"/>
        </w:rPr>
        <w:t>or on the proposed scale or in the proposed time</w:t>
      </w:r>
      <w:r w:rsidRPr="00F73C3A">
        <w:rPr>
          <w:rFonts w:ascii="Calibri" w:hAnsi="Calibri"/>
          <w:color w:val="262626" w:themeColor="text1" w:themeTint="D9"/>
          <w:lang w:val="en-US"/>
        </w:rPr>
        <w:t>scale.</w:t>
      </w:r>
    </w:p>
    <w:p w:rsidR="00686851" w:rsidRPr="00F73C3A" w:rsidRDefault="00686851" w:rsidP="00A6625D">
      <w:pPr>
        <w:rPr>
          <w:rFonts w:ascii="Calibri" w:hAnsi="Calibri"/>
          <w:color w:val="262626" w:themeColor="text1" w:themeTint="D9"/>
          <w:lang w:val="en-US"/>
        </w:rPr>
      </w:pPr>
      <w:r w:rsidRPr="00F73C3A">
        <w:rPr>
          <w:rFonts w:ascii="Calibri" w:hAnsi="Calibri"/>
          <w:color w:val="262626" w:themeColor="text1" w:themeTint="D9"/>
          <w:lang w:val="en-US"/>
        </w:rPr>
        <w:t>Details of how additionality w</w:t>
      </w:r>
      <w:r w:rsidR="00E072E1" w:rsidRPr="00F73C3A">
        <w:rPr>
          <w:rFonts w:ascii="Calibri" w:hAnsi="Calibri"/>
          <w:color w:val="262626" w:themeColor="text1" w:themeTint="D9"/>
          <w:lang w:val="en-US"/>
        </w:rPr>
        <w:t>ill be appraised are included in</w:t>
      </w:r>
      <w:r w:rsidRPr="00F73C3A">
        <w:rPr>
          <w:rFonts w:ascii="Calibri" w:hAnsi="Calibri"/>
          <w:color w:val="262626" w:themeColor="text1" w:themeTint="D9"/>
          <w:lang w:val="en-US"/>
        </w:rPr>
        <w:t xml:space="preserve"> Part 4 of these guidelines.</w:t>
      </w:r>
    </w:p>
    <w:p w:rsidR="00686851" w:rsidRPr="00F73C3A" w:rsidRDefault="00686851" w:rsidP="003E6D0C">
      <w:pPr>
        <w:pStyle w:val="Heading3"/>
        <w:rPr>
          <w:rFonts w:ascii="Calibri" w:hAnsi="Calibri"/>
          <w:color w:val="262626" w:themeColor="text1" w:themeTint="D9"/>
          <w:lang w:val="en-US"/>
        </w:rPr>
      </w:pPr>
      <w:bookmarkStart w:id="56" w:name="_Toc349307612"/>
      <w:bookmarkStart w:id="57" w:name="_Toc349307761"/>
      <w:bookmarkStart w:id="58" w:name="_Toc349308194"/>
      <w:bookmarkStart w:id="59" w:name="_Toc349308271"/>
      <w:bookmarkStart w:id="60" w:name="_Toc349308379"/>
      <w:bookmarkStart w:id="61" w:name="_Toc349308472"/>
      <w:r w:rsidRPr="00F73C3A">
        <w:rPr>
          <w:rFonts w:ascii="Calibri" w:hAnsi="Calibri"/>
          <w:color w:val="262626" w:themeColor="text1" w:themeTint="D9"/>
          <w:lang w:val="en-US"/>
        </w:rPr>
        <w:t>Incentive effect</w:t>
      </w:r>
      <w:bookmarkEnd w:id="56"/>
      <w:bookmarkEnd w:id="57"/>
      <w:bookmarkEnd w:id="58"/>
      <w:bookmarkEnd w:id="59"/>
      <w:bookmarkEnd w:id="60"/>
      <w:bookmarkEnd w:id="61"/>
    </w:p>
    <w:p w:rsidR="00B67804" w:rsidRPr="00F73C3A" w:rsidRDefault="00B67804">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 xml:space="preserve">It is a requirement of EU State Aid law that </w:t>
      </w:r>
      <w:r w:rsidR="00612905" w:rsidRPr="00F73C3A">
        <w:rPr>
          <w:rFonts w:ascii="Calibri" w:hAnsi="Calibri" w:cs="Arial"/>
          <w:color w:val="262626" w:themeColor="text1" w:themeTint="D9"/>
          <w:szCs w:val="20"/>
          <w:lang w:val="en-US"/>
        </w:rPr>
        <w:t>Cumbria Growth Fund</w:t>
      </w:r>
      <w:r w:rsidRPr="00F73C3A">
        <w:rPr>
          <w:rFonts w:ascii="Calibri" w:hAnsi="Calibri" w:cs="Arial"/>
          <w:color w:val="262626" w:themeColor="text1" w:themeTint="D9"/>
          <w:szCs w:val="20"/>
          <w:lang w:val="en-US"/>
        </w:rPr>
        <w:t xml:space="preserve"> may only be awarded when it produces an incentive effect, which is to say it positively influences the behaviour of the aid recipient and facilitates investments that would not otherwise happen or would work differently in the absence of the aid. </w:t>
      </w:r>
    </w:p>
    <w:p w:rsidR="000011CF" w:rsidRPr="00F73C3A" w:rsidRDefault="00612905">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Cumbria Growth Fund</w:t>
      </w:r>
      <w:r w:rsidR="00DD6927" w:rsidRPr="00F73C3A">
        <w:rPr>
          <w:rFonts w:ascii="Calibri" w:hAnsi="Calibri" w:cs="Arial"/>
          <w:color w:val="262626" w:themeColor="text1" w:themeTint="D9"/>
          <w:szCs w:val="20"/>
          <w:lang w:val="en-US"/>
        </w:rPr>
        <w:t xml:space="preserve"> granted under Regional Aid</w:t>
      </w:r>
      <w:r w:rsidR="000011CF" w:rsidRPr="00F73C3A">
        <w:rPr>
          <w:rFonts w:ascii="Calibri" w:hAnsi="Calibri" w:cs="Arial"/>
          <w:color w:val="262626" w:themeColor="text1" w:themeTint="D9"/>
          <w:szCs w:val="20"/>
          <w:lang w:val="en-US"/>
        </w:rPr>
        <w:t xml:space="preserve"> is also considered to have an incentive effect if, in the absence of</w:t>
      </w:r>
      <w:r w:rsidR="003E6D0C" w:rsidRPr="00F73C3A">
        <w:rPr>
          <w:rFonts w:ascii="Calibri" w:hAnsi="Calibri" w:cs="Arial"/>
          <w:color w:val="262626" w:themeColor="text1" w:themeTint="D9"/>
          <w:szCs w:val="20"/>
          <w:lang w:val="en-US"/>
        </w:rPr>
        <w:t xml:space="preserve"> </w:t>
      </w:r>
      <w:r w:rsidR="000011CF" w:rsidRPr="00F73C3A">
        <w:rPr>
          <w:rFonts w:ascii="Calibri" w:hAnsi="Calibri" w:cs="Arial"/>
          <w:color w:val="262626" w:themeColor="text1" w:themeTint="D9"/>
          <w:szCs w:val="20"/>
          <w:lang w:val="en-US"/>
        </w:rPr>
        <w:t>the aid, the investment project would not have been carried out in the</w:t>
      </w:r>
      <w:r w:rsidR="004B5BDB" w:rsidRPr="00F73C3A">
        <w:rPr>
          <w:rFonts w:ascii="Calibri" w:hAnsi="Calibri" w:cs="Arial"/>
          <w:color w:val="262626" w:themeColor="text1" w:themeTint="D9"/>
          <w:szCs w:val="20"/>
          <w:lang w:val="en-US"/>
        </w:rPr>
        <w:t xml:space="preserve"> </w:t>
      </w:r>
      <w:r w:rsidR="000011CF" w:rsidRPr="00F73C3A">
        <w:rPr>
          <w:rFonts w:ascii="Calibri" w:hAnsi="Calibri" w:cs="Arial"/>
          <w:color w:val="262626" w:themeColor="text1" w:themeTint="D9"/>
          <w:szCs w:val="20"/>
          <w:lang w:val="en-US"/>
        </w:rPr>
        <w:t>Assisted Area concerned.</w:t>
      </w:r>
    </w:p>
    <w:p w:rsidR="00686851" w:rsidRPr="00F73C3A" w:rsidRDefault="00686851" w:rsidP="00686851">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 xml:space="preserve">Aid granted to SMEs </w:t>
      </w:r>
      <w:r w:rsidR="00AC10D3" w:rsidRPr="00F73C3A">
        <w:rPr>
          <w:rFonts w:ascii="Calibri" w:hAnsi="Calibri" w:cs="Arial"/>
          <w:color w:val="262626" w:themeColor="text1" w:themeTint="D9"/>
          <w:szCs w:val="20"/>
          <w:lang w:val="en-US"/>
        </w:rPr>
        <w:t>will</w:t>
      </w:r>
      <w:r w:rsidRPr="00F73C3A">
        <w:rPr>
          <w:rFonts w:ascii="Calibri" w:hAnsi="Calibri" w:cs="Arial"/>
          <w:color w:val="262626" w:themeColor="text1" w:themeTint="D9"/>
          <w:szCs w:val="20"/>
          <w:lang w:val="en-US"/>
        </w:rPr>
        <w:t xml:space="preserve"> be considered to have an incentive effect if, before work on the project or activity has started, the beneficiary has submitted an </w:t>
      </w:r>
      <w:r w:rsidR="00E852BF" w:rsidRPr="00F73C3A">
        <w:rPr>
          <w:rFonts w:ascii="Calibri" w:hAnsi="Calibri" w:cs="Arial"/>
          <w:color w:val="262626" w:themeColor="text1" w:themeTint="D9"/>
          <w:szCs w:val="20"/>
          <w:lang w:val="en-US"/>
        </w:rPr>
        <w:t xml:space="preserve">application for the aid to </w:t>
      </w:r>
      <w:r w:rsidR="00981B48" w:rsidRPr="00F73C3A">
        <w:rPr>
          <w:rFonts w:ascii="Calibri" w:hAnsi="Calibri" w:cs="Arial"/>
          <w:color w:val="262626" w:themeColor="text1" w:themeTint="D9"/>
          <w:szCs w:val="20"/>
          <w:lang w:val="en-US"/>
        </w:rPr>
        <w:t>the Chamber</w:t>
      </w:r>
      <w:r w:rsidRPr="00F73C3A">
        <w:rPr>
          <w:rFonts w:ascii="Calibri" w:hAnsi="Calibri" w:cs="Arial"/>
          <w:color w:val="262626" w:themeColor="text1" w:themeTint="D9"/>
          <w:szCs w:val="20"/>
          <w:lang w:val="en-US"/>
        </w:rPr>
        <w:t>.</w:t>
      </w:r>
    </w:p>
    <w:p w:rsidR="00686851" w:rsidRPr="00F73C3A" w:rsidRDefault="00686851" w:rsidP="00686851">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 xml:space="preserve">Aid granted to large enterprises shall be considered to </w:t>
      </w:r>
      <w:r w:rsidR="00A6625D" w:rsidRPr="00F73C3A">
        <w:rPr>
          <w:rFonts w:ascii="Calibri" w:hAnsi="Calibri" w:cs="Arial"/>
          <w:color w:val="262626" w:themeColor="text1" w:themeTint="D9"/>
          <w:szCs w:val="20"/>
          <w:lang w:val="en-US"/>
        </w:rPr>
        <w:t xml:space="preserve">have an incentive effect if, in </w:t>
      </w:r>
      <w:r w:rsidRPr="00F73C3A">
        <w:rPr>
          <w:rFonts w:ascii="Calibri" w:hAnsi="Calibri" w:cs="Arial"/>
          <w:color w:val="262626" w:themeColor="text1" w:themeTint="D9"/>
          <w:szCs w:val="20"/>
          <w:lang w:val="en-US"/>
        </w:rPr>
        <w:t xml:space="preserve">addition to fulfilling the condition above, it can be verified, before the grant offer is made, that documentation prepared by the beneficiary establishes one or more of the following criteria: </w:t>
      </w:r>
    </w:p>
    <w:p w:rsidR="000011CF" w:rsidRPr="00F73C3A" w:rsidRDefault="004B5BDB" w:rsidP="00F61707">
      <w:pPr>
        <w:pStyle w:val="ListParagraph"/>
        <w:numPr>
          <w:ilvl w:val="0"/>
          <w:numId w:val="45"/>
        </w:num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 xml:space="preserve">a </w:t>
      </w:r>
      <w:r w:rsidR="000011CF" w:rsidRPr="00F73C3A">
        <w:rPr>
          <w:rFonts w:ascii="Calibri" w:hAnsi="Calibri" w:cs="Arial"/>
          <w:color w:val="262626" w:themeColor="text1" w:themeTint="D9"/>
          <w:szCs w:val="20"/>
          <w:lang w:val="en-US"/>
        </w:rPr>
        <w:t>material increase in the size of th</w:t>
      </w:r>
      <w:r w:rsidR="004F4708" w:rsidRPr="00F73C3A">
        <w:rPr>
          <w:rFonts w:ascii="Calibri" w:hAnsi="Calibri" w:cs="Arial"/>
          <w:color w:val="262626" w:themeColor="text1" w:themeTint="D9"/>
          <w:szCs w:val="20"/>
          <w:lang w:val="en-US"/>
        </w:rPr>
        <w:t>e project due to the aid</w:t>
      </w:r>
    </w:p>
    <w:p w:rsidR="000011CF" w:rsidRPr="00F73C3A" w:rsidRDefault="000011CF" w:rsidP="00F61707">
      <w:pPr>
        <w:pStyle w:val="ListParagraph"/>
        <w:numPr>
          <w:ilvl w:val="0"/>
          <w:numId w:val="45"/>
        </w:num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a material increase in the scop</w:t>
      </w:r>
      <w:r w:rsidR="004F4708" w:rsidRPr="00F73C3A">
        <w:rPr>
          <w:rFonts w:ascii="Calibri" w:hAnsi="Calibri" w:cs="Arial"/>
          <w:color w:val="262626" w:themeColor="text1" w:themeTint="D9"/>
          <w:szCs w:val="20"/>
          <w:lang w:val="en-US"/>
        </w:rPr>
        <w:t>e of the project due to the aid</w:t>
      </w:r>
    </w:p>
    <w:p w:rsidR="000011CF" w:rsidRPr="00F73C3A" w:rsidRDefault="000011CF" w:rsidP="00F61707">
      <w:pPr>
        <w:pStyle w:val="ListParagraph"/>
        <w:numPr>
          <w:ilvl w:val="0"/>
          <w:numId w:val="45"/>
        </w:num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a material increase in the total amount spent by the beneficiary on the</w:t>
      </w:r>
      <w:r w:rsidR="004B5BDB" w:rsidRPr="00F73C3A">
        <w:rPr>
          <w:rFonts w:ascii="Calibri" w:hAnsi="Calibri" w:cs="Arial"/>
          <w:color w:val="262626" w:themeColor="text1" w:themeTint="D9"/>
          <w:szCs w:val="20"/>
          <w:lang w:val="en-US"/>
        </w:rPr>
        <w:t xml:space="preserve"> </w:t>
      </w:r>
      <w:r w:rsidR="004F4708" w:rsidRPr="00F73C3A">
        <w:rPr>
          <w:rFonts w:ascii="Calibri" w:hAnsi="Calibri" w:cs="Arial"/>
          <w:color w:val="262626" w:themeColor="text1" w:themeTint="D9"/>
          <w:szCs w:val="20"/>
          <w:lang w:val="en-US"/>
        </w:rPr>
        <w:t>project due to the aid</w:t>
      </w:r>
    </w:p>
    <w:p w:rsidR="000011CF" w:rsidRPr="00F73C3A" w:rsidRDefault="000011CF" w:rsidP="00F61707">
      <w:pPr>
        <w:pStyle w:val="ListParagraph"/>
        <w:numPr>
          <w:ilvl w:val="0"/>
          <w:numId w:val="45"/>
        </w:num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lastRenderedPageBreak/>
        <w:t>a material increase in the speed of completion of the project</w:t>
      </w:r>
      <w:r w:rsidR="004B5BDB"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concerne</w:t>
      </w:r>
      <w:r w:rsidR="004F4708" w:rsidRPr="00F73C3A">
        <w:rPr>
          <w:rFonts w:ascii="Calibri" w:hAnsi="Calibri" w:cs="Arial"/>
          <w:color w:val="262626" w:themeColor="text1" w:themeTint="D9"/>
          <w:szCs w:val="20"/>
          <w:lang w:val="en-US"/>
        </w:rPr>
        <w:t>d,</w:t>
      </w:r>
      <w:r w:rsidRPr="00F73C3A">
        <w:rPr>
          <w:rFonts w:ascii="Calibri" w:hAnsi="Calibri" w:cs="Arial"/>
          <w:color w:val="262626" w:themeColor="text1" w:themeTint="D9"/>
          <w:szCs w:val="20"/>
          <w:lang w:val="en-US"/>
        </w:rPr>
        <w:t xml:space="preserve"> or</w:t>
      </w:r>
    </w:p>
    <w:p w:rsidR="000011CF" w:rsidRPr="00F73C3A" w:rsidRDefault="000011CF" w:rsidP="00F61707">
      <w:pPr>
        <w:pStyle w:val="ListParagraph"/>
        <w:numPr>
          <w:ilvl w:val="0"/>
          <w:numId w:val="45"/>
        </w:num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that the project would not have been carried out as such in the</w:t>
      </w:r>
      <w:r w:rsidR="004B5BDB"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deprived area concerned in the absence of the aid</w:t>
      </w:r>
      <w:r w:rsidR="00DD6927" w:rsidRPr="00F73C3A">
        <w:rPr>
          <w:rFonts w:ascii="Calibri" w:hAnsi="Calibri" w:cs="Arial"/>
          <w:color w:val="262626" w:themeColor="text1" w:themeTint="D9"/>
          <w:szCs w:val="20"/>
          <w:lang w:val="en-US"/>
        </w:rPr>
        <w:t xml:space="preserve"> (this applies to Regional Aid only. R&amp;D projects must be able to demonstrate one of the other criteria above)</w:t>
      </w:r>
      <w:r w:rsidRPr="00F73C3A">
        <w:rPr>
          <w:rFonts w:ascii="Calibri" w:hAnsi="Calibri" w:cs="Arial"/>
          <w:color w:val="262626" w:themeColor="text1" w:themeTint="D9"/>
          <w:szCs w:val="20"/>
          <w:lang w:val="en-US"/>
        </w:rPr>
        <w:t>.</w:t>
      </w:r>
    </w:p>
    <w:p w:rsidR="00460BAC" w:rsidRPr="00F73C3A" w:rsidRDefault="00460BAC">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Large companies must be able to provide evidence that the applicant has analysed in an internal document the viability of the project with aid and without aid, and that the internal document contains a credible analysis and demonstration of the incentive effect of the aid as defined in Article 8 of GBER.</w:t>
      </w:r>
      <w:r w:rsidR="008C13A5" w:rsidRPr="00F73C3A">
        <w:rPr>
          <w:rFonts w:ascii="Calibri" w:hAnsi="Calibri" w:cs="Arial"/>
          <w:color w:val="262626" w:themeColor="text1" w:themeTint="D9"/>
          <w:szCs w:val="20"/>
          <w:lang w:val="en-US"/>
        </w:rPr>
        <w:t xml:space="preserve"> </w:t>
      </w:r>
      <w:r w:rsidR="008C13A5" w:rsidRPr="00F73C3A">
        <w:rPr>
          <w:rFonts w:ascii="Calibri" w:hAnsi="Calibri" w:cs="Arial"/>
          <w:b/>
          <w:color w:val="262626" w:themeColor="text1" w:themeTint="D9"/>
          <w:szCs w:val="20"/>
          <w:lang w:val="en-US"/>
        </w:rPr>
        <w:t>A declaratory statement from an applicant that the grant helps to increase the scope or size of a project is not considered sufficient to demonstrate the incentive effect.</w:t>
      </w:r>
    </w:p>
    <w:p w:rsidR="000011CF" w:rsidRPr="00F73C3A" w:rsidRDefault="000011CF" w:rsidP="0002758E">
      <w:pPr>
        <w:pStyle w:val="Heading2"/>
        <w:rPr>
          <w:rFonts w:ascii="Calibri" w:hAnsi="Calibri"/>
          <w:color w:val="262626" w:themeColor="text1" w:themeTint="D9"/>
          <w:lang w:val="en-US"/>
        </w:rPr>
      </w:pPr>
      <w:bookmarkStart w:id="62" w:name="_Toc349308473"/>
      <w:r w:rsidRPr="00F73C3A">
        <w:rPr>
          <w:rFonts w:ascii="Calibri" w:hAnsi="Calibri"/>
          <w:color w:val="262626" w:themeColor="text1" w:themeTint="D9"/>
          <w:lang w:val="en-US"/>
        </w:rPr>
        <w:t>Gross grant equivalent aid intensity</w:t>
      </w:r>
      <w:bookmarkEnd w:id="62"/>
    </w:p>
    <w:p w:rsidR="000011CF" w:rsidRPr="00F73C3A" w:rsidRDefault="00612905">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Cumbria Growth Fund</w:t>
      </w:r>
      <w:r w:rsidR="000011CF" w:rsidRPr="00F73C3A">
        <w:rPr>
          <w:rFonts w:ascii="Calibri" w:hAnsi="Calibri" w:cs="Arial"/>
          <w:color w:val="262626" w:themeColor="text1" w:themeTint="D9"/>
          <w:szCs w:val="20"/>
          <w:lang w:val="en-US"/>
        </w:rPr>
        <w:t xml:space="preserve"> support can be awarded to companies, partnerships or sole traders.</w:t>
      </w:r>
    </w:p>
    <w:p w:rsidR="000011CF" w:rsidRPr="00F73C3A" w:rsidRDefault="000011CF">
      <w:pPr>
        <w:autoSpaceDE w:val="0"/>
        <w:autoSpaceDN w:val="0"/>
        <w:adjustRightInd w:val="0"/>
        <w:rPr>
          <w:rFonts w:ascii="Calibri" w:hAnsi="Calibri" w:cs="Arial"/>
          <w:b/>
          <w:bCs/>
          <w:color w:val="262626" w:themeColor="text1" w:themeTint="D9"/>
          <w:szCs w:val="20"/>
          <w:lang w:val="en-US"/>
        </w:rPr>
      </w:pPr>
      <w:r w:rsidRPr="00F73C3A">
        <w:rPr>
          <w:rFonts w:ascii="Calibri" w:hAnsi="Calibri" w:cs="Arial"/>
          <w:color w:val="262626" w:themeColor="text1" w:themeTint="D9"/>
          <w:szCs w:val="20"/>
          <w:lang w:val="en-US"/>
        </w:rPr>
        <w:t>In these Guidelines the term “company” includes all legal vehicles for</w:t>
      </w:r>
      <w:r w:rsidR="004B5BDB"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carrying on business (including partnerships, limited liability partnerships,</w:t>
      </w:r>
      <w:r w:rsidR="004B5BDB"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sole traders and companies registered in other jurisdictions as well as</w:t>
      </w:r>
      <w:r w:rsidR="004B5BDB"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limited liability companies registered in Great Britain) unless the context</w:t>
      </w:r>
      <w:r w:rsidR="004B5BDB"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dictates otherwise.</w:t>
      </w:r>
    </w:p>
    <w:p w:rsidR="000011CF" w:rsidRPr="004F4EE7" w:rsidRDefault="000011CF">
      <w:pPr>
        <w:autoSpaceDE w:val="0"/>
        <w:autoSpaceDN w:val="0"/>
        <w:adjustRightInd w:val="0"/>
        <w:rPr>
          <w:rFonts w:ascii="Calibri" w:hAnsi="Calibri" w:cs="Arial"/>
          <w:color w:val="000000"/>
          <w:szCs w:val="20"/>
          <w:lang w:val="en-US"/>
        </w:rPr>
      </w:pPr>
      <w:r w:rsidRPr="00F73C3A">
        <w:rPr>
          <w:rFonts w:ascii="Calibri" w:hAnsi="Calibri" w:cs="Arial"/>
          <w:color w:val="262626" w:themeColor="text1" w:themeTint="D9"/>
          <w:szCs w:val="20"/>
          <w:lang w:val="en-US"/>
        </w:rPr>
        <w:t xml:space="preserve">For the purposes of calculating aid intensity, all figures used shall be taken before any deduction of tax or other charge. Where aid is awarded in a form other than a grant, the aid amount shall be the grant equivalent of the aid. Aid payable in several instalments shall be discounted to its value at the moment of granting. The interest rate to be used for discounting purposes shall be the reference rate applicable at the time of grant plus 1%. The reference rate can be found at </w:t>
      </w:r>
      <w:hyperlink r:id="rId17" w:history="1">
        <w:r w:rsidRPr="004F4EE7">
          <w:rPr>
            <w:rStyle w:val="Hyperlink"/>
            <w:rFonts w:ascii="Calibri" w:hAnsi="Calibri" w:cs="Arial"/>
            <w:szCs w:val="20"/>
            <w:lang w:val="en-US"/>
          </w:rPr>
          <w:t>European reference rates hyperlink</w:t>
        </w:r>
      </w:hyperlink>
    </w:p>
    <w:p w:rsidR="00686851" w:rsidRPr="00F73C3A" w:rsidRDefault="00686851" w:rsidP="00686851">
      <w:pPr>
        <w:autoSpaceDE w:val="0"/>
        <w:autoSpaceDN w:val="0"/>
        <w:adjustRightInd w:val="0"/>
        <w:rPr>
          <w:rFonts w:ascii="Calibri" w:hAnsi="Calibri" w:cs="Arial"/>
          <w:color w:val="262626" w:themeColor="text1" w:themeTint="D9"/>
        </w:rPr>
      </w:pPr>
      <w:r w:rsidRPr="00F73C3A">
        <w:rPr>
          <w:rFonts w:ascii="Calibri" w:hAnsi="Calibri" w:cs="Arial"/>
          <w:color w:val="262626" w:themeColor="text1" w:themeTint="D9"/>
        </w:rPr>
        <w:t xml:space="preserve">Any other form of aid provided under GBER or de minimis should be included in the gross grant equivalent calculation in addition to the grant provided by the Fund, where it is provided in respect of the same </w:t>
      </w:r>
      <w:r w:rsidR="00604303" w:rsidRPr="00F73C3A">
        <w:rPr>
          <w:rFonts w:ascii="Calibri" w:hAnsi="Calibri" w:cs="Arial"/>
          <w:color w:val="262626" w:themeColor="text1" w:themeTint="D9"/>
        </w:rPr>
        <w:t xml:space="preserve">eligible </w:t>
      </w:r>
      <w:r w:rsidRPr="00F73C3A">
        <w:rPr>
          <w:rFonts w:ascii="Calibri" w:hAnsi="Calibri" w:cs="Arial"/>
          <w:color w:val="262626" w:themeColor="text1" w:themeTint="D9"/>
        </w:rPr>
        <w:t xml:space="preserve">project costs. The total of such funding should not exceed the maximum aid intensity set out in GBER. This </w:t>
      </w:r>
      <w:r w:rsidR="00604303" w:rsidRPr="00F73C3A">
        <w:rPr>
          <w:rFonts w:ascii="Calibri" w:hAnsi="Calibri" w:cs="Arial"/>
          <w:color w:val="262626" w:themeColor="text1" w:themeTint="D9"/>
        </w:rPr>
        <w:t xml:space="preserve">could </w:t>
      </w:r>
      <w:r w:rsidRPr="00F73C3A">
        <w:rPr>
          <w:rFonts w:ascii="Calibri" w:hAnsi="Calibri" w:cs="Arial"/>
          <w:color w:val="262626" w:themeColor="text1" w:themeTint="D9"/>
        </w:rPr>
        <w:t>include the following forms of aid:</w:t>
      </w:r>
    </w:p>
    <w:p w:rsidR="00311D8A" w:rsidRPr="00F73C3A" w:rsidRDefault="004F4708" w:rsidP="00F61707">
      <w:pPr>
        <w:pStyle w:val="ListParagraph"/>
        <w:numPr>
          <w:ilvl w:val="0"/>
          <w:numId w:val="46"/>
        </w:numPr>
        <w:autoSpaceDE w:val="0"/>
        <w:autoSpaceDN w:val="0"/>
        <w:adjustRightInd w:val="0"/>
        <w:rPr>
          <w:rFonts w:ascii="Calibri" w:hAnsi="Calibri" w:cs="Arial"/>
          <w:color w:val="262626" w:themeColor="text1" w:themeTint="D9"/>
        </w:rPr>
      </w:pPr>
      <w:r w:rsidRPr="00F73C3A">
        <w:rPr>
          <w:rFonts w:ascii="Calibri" w:hAnsi="Calibri" w:cs="Arial"/>
          <w:color w:val="262626" w:themeColor="text1" w:themeTint="D9"/>
        </w:rPr>
        <w:t>R</w:t>
      </w:r>
      <w:r w:rsidR="00311D8A" w:rsidRPr="00F73C3A">
        <w:rPr>
          <w:rFonts w:ascii="Calibri" w:hAnsi="Calibri" w:cs="Arial"/>
          <w:color w:val="262626" w:themeColor="text1" w:themeTint="D9"/>
        </w:rPr>
        <w:t xml:space="preserve">ent free periods on publicly owned facilities. If the value of the annual rental is not known, an estimate should be made. The value </w:t>
      </w:r>
      <w:r w:rsidRPr="00F73C3A">
        <w:rPr>
          <w:rFonts w:ascii="Calibri" w:hAnsi="Calibri" w:cs="Arial"/>
          <w:color w:val="262626" w:themeColor="text1" w:themeTint="D9"/>
        </w:rPr>
        <w:t>of the rental may be discounted.</w:t>
      </w:r>
    </w:p>
    <w:p w:rsidR="00311D8A" w:rsidRPr="00F73C3A" w:rsidRDefault="004F4708" w:rsidP="00F61707">
      <w:pPr>
        <w:pStyle w:val="ListParagraph"/>
        <w:numPr>
          <w:ilvl w:val="0"/>
          <w:numId w:val="46"/>
        </w:numPr>
        <w:autoSpaceDE w:val="0"/>
        <w:autoSpaceDN w:val="0"/>
        <w:adjustRightInd w:val="0"/>
        <w:rPr>
          <w:rFonts w:ascii="Calibri" w:hAnsi="Calibri" w:cs="Arial"/>
          <w:color w:val="262626" w:themeColor="text1" w:themeTint="D9"/>
        </w:rPr>
      </w:pPr>
      <w:r w:rsidRPr="00F73C3A">
        <w:rPr>
          <w:rFonts w:ascii="Calibri" w:hAnsi="Calibri" w:cs="Arial"/>
          <w:color w:val="262626" w:themeColor="text1" w:themeTint="D9"/>
        </w:rPr>
        <w:t>L</w:t>
      </w:r>
      <w:r w:rsidR="00311D8A" w:rsidRPr="00F73C3A">
        <w:rPr>
          <w:rFonts w:ascii="Calibri" w:hAnsi="Calibri" w:cs="Arial"/>
          <w:color w:val="262626" w:themeColor="text1" w:themeTint="D9"/>
        </w:rPr>
        <w:t>oans from any public body at below commercial rates</w:t>
      </w:r>
      <w:r w:rsidR="00686851" w:rsidRPr="00F73C3A">
        <w:rPr>
          <w:rFonts w:ascii="Calibri" w:hAnsi="Calibri" w:cs="Arial"/>
          <w:color w:val="262626" w:themeColor="text1" w:themeTint="D9"/>
        </w:rPr>
        <w:t xml:space="preserve"> (in this case, the amount of aid is equivalent to the interest saving to the company)</w:t>
      </w:r>
      <w:r w:rsidRPr="00F73C3A">
        <w:rPr>
          <w:rFonts w:ascii="Calibri" w:hAnsi="Calibri" w:cs="Arial"/>
          <w:color w:val="262626" w:themeColor="text1" w:themeTint="D9"/>
        </w:rPr>
        <w:t>.</w:t>
      </w:r>
    </w:p>
    <w:p w:rsidR="00311D8A" w:rsidRPr="00F73C3A" w:rsidRDefault="004F4708" w:rsidP="00F61707">
      <w:pPr>
        <w:pStyle w:val="ListParagraph"/>
        <w:numPr>
          <w:ilvl w:val="0"/>
          <w:numId w:val="46"/>
        </w:numPr>
        <w:autoSpaceDE w:val="0"/>
        <w:autoSpaceDN w:val="0"/>
        <w:adjustRightInd w:val="0"/>
        <w:rPr>
          <w:rFonts w:ascii="Calibri" w:hAnsi="Calibri" w:cs="Arial"/>
          <w:color w:val="262626" w:themeColor="text1" w:themeTint="D9"/>
        </w:rPr>
      </w:pPr>
      <w:r w:rsidRPr="00F73C3A">
        <w:rPr>
          <w:rFonts w:ascii="Calibri" w:hAnsi="Calibri" w:cs="Arial"/>
          <w:color w:val="262626" w:themeColor="text1" w:themeTint="D9"/>
        </w:rPr>
        <w:t>L</w:t>
      </w:r>
      <w:r w:rsidR="00311D8A" w:rsidRPr="00F73C3A">
        <w:rPr>
          <w:rFonts w:ascii="Calibri" w:hAnsi="Calibri" w:cs="Arial"/>
          <w:color w:val="262626" w:themeColor="text1" w:themeTint="D9"/>
        </w:rPr>
        <w:t>ocal authority assistance, such as capital grants and loans at below commercial rates; loan guarantees which lower the cost of capital of the applican</w:t>
      </w:r>
      <w:r w:rsidRPr="00F73C3A">
        <w:rPr>
          <w:rFonts w:ascii="Calibri" w:hAnsi="Calibri" w:cs="Arial"/>
          <w:color w:val="262626" w:themeColor="text1" w:themeTint="D9"/>
        </w:rPr>
        <w:t>t company and rent free periods.</w:t>
      </w:r>
    </w:p>
    <w:p w:rsidR="00311D8A" w:rsidRPr="00F73C3A" w:rsidRDefault="004F4708" w:rsidP="00F61707">
      <w:pPr>
        <w:pStyle w:val="ListParagraph"/>
        <w:numPr>
          <w:ilvl w:val="0"/>
          <w:numId w:val="46"/>
        </w:numPr>
        <w:autoSpaceDE w:val="0"/>
        <w:autoSpaceDN w:val="0"/>
        <w:adjustRightInd w:val="0"/>
        <w:rPr>
          <w:rFonts w:ascii="Calibri" w:hAnsi="Calibri" w:cs="Arial"/>
          <w:color w:val="262626" w:themeColor="text1" w:themeTint="D9"/>
        </w:rPr>
      </w:pPr>
      <w:r w:rsidRPr="00F73C3A">
        <w:rPr>
          <w:rFonts w:ascii="Calibri" w:hAnsi="Calibri" w:cs="Arial"/>
          <w:color w:val="262626" w:themeColor="text1" w:themeTint="D9"/>
        </w:rPr>
        <w:t>A</w:t>
      </w:r>
      <w:r w:rsidR="00311D8A" w:rsidRPr="00F73C3A">
        <w:rPr>
          <w:rFonts w:ascii="Calibri" w:hAnsi="Calibri" w:cs="Arial"/>
          <w:color w:val="262626" w:themeColor="text1" w:themeTint="D9"/>
        </w:rPr>
        <w:t>ssistance provided towards training</w:t>
      </w:r>
      <w:r w:rsidRPr="00F73C3A">
        <w:rPr>
          <w:rFonts w:ascii="Calibri" w:hAnsi="Calibri" w:cs="Arial"/>
          <w:color w:val="262626" w:themeColor="text1" w:themeTint="D9"/>
        </w:rPr>
        <w:t>.</w:t>
      </w:r>
    </w:p>
    <w:p w:rsidR="00311D8A" w:rsidRPr="00F73C3A" w:rsidRDefault="004F4708" w:rsidP="00F61707">
      <w:pPr>
        <w:pStyle w:val="ListParagraph"/>
        <w:numPr>
          <w:ilvl w:val="0"/>
          <w:numId w:val="46"/>
        </w:numPr>
        <w:autoSpaceDE w:val="0"/>
        <w:autoSpaceDN w:val="0"/>
        <w:adjustRightInd w:val="0"/>
        <w:rPr>
          <w:rFonts w:ascii="Calibri" w:hAnsi="Calibri" w:cs="Arial"/>
          <w:color w:val="262626" w:themeColor="text1" w:themeTint="D9"/>
        </w:rPr>
      </w:pPr>
      <w:r w:rsidRPr="00F73C3A">
        <w:rPr>
          <w:rFonts w:ascii="Calibri" w:hAnsi="Calibri" w:cs="Arial"/>
          <w:color w:val="262626" w:themeColor="text1" w:themeTint="D9"/>
        </w:rPr>
        <w:t>L</w:t>
      </w:r>
      <w:r w:rsidR="00311D8A" w:rsidRPr="00F73C3A">
        <w:rPr>
          <w:rFonts w:ascii="Calibri" w:hAnsi="Calibri" w:cs="Arial"/>
          <w:color w:val="262626" w:themeColor="text1" w:themeTint="D9"/>
        </w:rPr>
        <w:t>ottery funding (very exceptionally where a project does not involve commercial competition, it ma</w:t>
      </w:r>
      <w:r w:rsidRPr="00F73C3A">
        <w:rPr>
          <w:rFonts w:ascii="Calibri" w:hAnsi="Calibri" w:cs="Arial"/>
          <w:color w:val="262626" w:themeColor="text1" w:themeTint="D9"/>
        </w:rPr>
        <w:t>y not be necessary to cumulate).</w:t>
      </w:r>
    </w:p>
    <w:p w:rsidR="003C49B8" w:rsidRPr="00F73C3A" w:rsidRDefault="003C49B8" w:rsidP="00A6625D">
      <w:pPr>
        <w:rPr>
          <w:rFonts w:ascii="Calibri" w:hAnsi="Calibri"/>
          <w:color w:val="262626" w:themeColor="text1" w:themeTint="D9"/>
        </w:rPr>
      </w:pPr>
      <w:r w:rsidRPr="00F73C3A">
        <w:rPr>
          <w:rFonts w:ascii="Calibri" w:hAnsi="Calibri"/>
          <w:color w:val="262626" w:themeColor="text1" w:themeTint="D9"/>
        </w:rPr>
        <w:t>If a project is located in an Enterprise Zone which offers Enhanced Capital Allowances (ECAs)</w:t>
      </w:r>
      <w:r w:rsidR="00B3076A" w:rsidRPr="00F73C3A">
        <w:rPr>
          <w:rFonts w:ascii="Calibri" w:hAnsi="Calibri"/>
          <w:color w:val="262626" w:themeColor="text1" w:themeTint="D9"/>
        </w:rPr>
        <w:t xml:space="preserve"> </w:t>
      </w:r>
      <w:r w:rsidRPr="00F73C3A">
        <w:rPr>
          <w:rFonts w:ascii="Calibri" w:hAnsi="Calibri"/>
          <w:color w:val="262626" w:themeColor="text1" w:themeTint="D9"/>
        </w:rPr>
        <w:t>then the business will not be entitled to claim both ECAs</w:t>
      </w:r>
      <w:r w:rsidR="00B3076A" w:rsidRPr="00F73C3A">
        <w:rPr>
          <w:rFonts w:ascii="Calibri" w:hAnsi="Calibri"/>
          <w:color w:val="262626" w:themeColor="text1" w:themeTint="D9"/>
        </w:rPr>
        <w:t xml:space="preserve"> </w:t>
      </w:r>
      <w:r w:rsidRPr="00F73C3A">
        <w:rPr>
          <w:rFonts w:ascii="Calibri" w:hAnsi="Calibri"/>
          <w:color w:val="262626" w:themeColor="text1" w:themeTint="D9"/>
        </w:rPr>
        <w:t xml:space="preserve">and </w:t>
      </w:r>
      <w:r w:rsidR="00612905" w:rsidRPr="00F73C3A">
        <w:rPr>
          <w:rFonts w:ascii="Calibri" w:hAnsi="Calibri"/>
          <w:color w:val="262626" w:themeColor="text1" w:themeTint="D9"/>
        </w:rPr>
        <w:t>Cumbria Growth Fund</w:t>
      </w:r>
      <w:r w:rsidRPr="00F73C3A">
        <w:rPr>
          <w:rFonts w:ascii="Calibri" w:hAnsi="Calibri"/>
          <w:color w:val="262626" w:themeColor="text1" w:themeTint="D9"/>
        </w:rPr>
        <w:t xml:space="preserve"> aid on the same assets. In this case the business must choose which option it wishes to pursue.</w:t>
      </w:r>
    </w:p>
    <w:p w:rsidR="00311D8A" w:rsidRPr="00F73C3A" w:rsidRDefault="00311D8A" w:rsidP="00A6625D">
      <w:pPr>
        <w:rPr>
          <w:rFonts w:ascii="Calibri" w:hAnsi="Calibri"/>
          <w:color w:val="262626" w:themeColor="text1" w:themeTint="D9"/>
        </w:rPr>
      </w:pPr>
      <w:r w:rsidRPr="00F73C3A">
        <w:rPr>
          <w:rFonts w:ascii="Calibri" w:hAnsi="Calibri"/>
          <w:color w:val="262626" w:themeColor="text1" w:themeTint="D9"/>
        </w:rPr>
        <w:t>Where project expenditure includes the costs of special equipment funded or part funded by the Ministry of Defence, the aid ceiling for the project must be reduced by an amount equal to the subsidy provided by the MOD.</w:t>
      </w:r>
    </w:p>
    <w:p w:rsidR="007407EC" w:rsidRPr="00F73C3A" w:rsidRDefault="00311D8A" w:rsidP="00A6625D">
      <w:pPr>
        <w:rPr>
          <w:rFonts w:ascii="Calibri" w:hAnsi="Calibri"/>
          <w:color w:val="262626" w:themeColor="text1" w:themeTint="D9"/>
        </w:rPr>
      </w:pPr>
      <w:r w:rsidRPr="00F73C3A">
        <w:rPr>
          <w:rFonts w:ascii="Calibri" w:hAnsi="Calibri"/>
          <w:color w:val="262626" w:themeColor="text1" w:themeTint="D9"/>
        </w:rPr>
        <w:t xml:space="preserve">Department for Work and Pensions employment measures and </w:t>
      </w:r>
      <w:r w:rsidR="00AC10D3" w:rsidRPr="00F73C3A">
        <w:rPr>
          <w:rFonts w:ascii="Calibri" w:hAnsi="Calibri"/>
          <w:color w:val="262626" w:themeColor="text1" w:themeTint="D9"/>
        </w:rPr>
        <w:t>Skills Funding Agency</w:t>
      </w:r>
      <w:r w:rsidRPr="00F73C3A">
        <w:rPr>
          <w:rFonts w:ascii="Calibri" w:hAnsi="Calibri"/>
          <w:color w:val="262626" w:themeColor="text1" w:themeTint="D9"/>
        </w:rPr>
        <w:t xml:space="preserve"> training assistance which is based on national schemes directly aimed at benefiting individuals and are therefore not project related should not be cumulated.</w:t>
      </w:r>
    </w:p>
    <w:p w:rsidR="007407EC" w:rsidRPr="00F73C3A" w:rsidRDefault="007407EC" w:rsidP="00A6625D">
      <w:pPr>
        <w:rPr>
          <w:rFonts w:ascii="Calibri" w:hAnsi="Calibri"/>
          <w:color w:val="262626" w:themeColor="text1" w:themeTint="D9"/>
        </w:rPr>
      </w:pPr>
      <w:r w:rsidRPr="00F73C3A">
        <w:rPr>
          <w:rFonts w:ascii="Calibri" w:hAnsi="Calibri"/>
          <w:color w:val="262626" w:themeColor="text1" w:themeTint="D9"/>
        </w:rPr>
        <w:t xml:space="preserve">Where </w:t>
      </w:r>
      <w:r w:rsidR="00612905" w:rsidRPr="00F73C3A">
        <w:rPr>
          <w:rFonts w:ascii="Calibri" w:hAnsi="Calibri"/>
          <w:color w:val="262626" w:themeColor="text1" w:themeTint="D9"/>
        </w:rPr>
        <w:t>Cumbria Growth Fund</w:t>
      </w:r>
      <w:r w:rsidRPr="00F73C3A">
        <w:rPr>
          <w:rFonts w:ascii="Calibri" w:hAnsi="Calibri"/>
          <w:color w:val="262626" w:themeColor="text1" w:themeTint="D9"/>
        </w:rPr>
        <w:t xml:space="preserve"> is given to a project involving research and development, the research and development expenditure may not be eligible for a research and development tax credit.</w:t>
      </w:r>
    </w:p>
    <w:p w:rsidR="004B5BDB" w:rsidRPr="00F73C3A" w:rsidRDefault="004B5BDB" w:rsidP="003E6D0C">
      <w:pPr>
        <w:pStyle w:val="Heading3"/>
        <w:rPr>
          <w:rFonts w:ascii="Calibri" w:hAnsi="Calibri"/>
          <w:color w:val="262626" w:themeColor="text1" w:themeTint="D9"/>
          <w:lang w:val="en-US"/>
        </w:rPr>
      </w:pPr>
      <w:bookmarkStart w:id="63" w:name="_Toc349307614"/>
      <w:bookmarkStart w:id="64" w:name="_Toc349307763"/>
      <w:bookmarkStart w:id="65" w:name="_Toc349308196"/>
      <w:bookmarkStart w:id="66" w:name="_Toc349308273"/>
      <w:bookmarkStart w:id="67" w:name="_Toc349308381"/>
      <w:bookmarkStart w:id="68" w:name="_Toc349308474"/>
      <w:r w:rsidRPr="00F73C3A">
        <w:rPr>
          <w:rFonts w:ascii="Calibri" w:hAnsi="Calibri"/>
          <w:color w:val="262626" w:themeColor="text1" w:themeTint="D9"/>
          <w:lang w:val="en-US"/>
        </w:rPr>
        <w:t>Regional Aid</w:t>
      </w:r>
      <w:bookmarkEnd w:id="63"/>
      <w:bookmarkEnd w:id="64"/>
      <w:bookmarkEnd w:id="65"/>
      <w:bookmarkEnd w:id="66"/>
      <w:bookmarkEnd w:id="67"/>
      <w:bookmarkEnd w:id="68"/>
    </w:p>
    <w:p w:rsidR="009362B2" w:rsidRPr="00F73C3A" w:rsidRDefault="004B5BDB">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For projects assessed under the Regional Aid criteria, t</w:t>
      </w:r>
      <w:r w:rsidR="000011CF" w:rsidRPr="00F73C3A">
        <w:rPr>
          <w:rFonts w:ascii="Calibri" w:hAnsi="Calibri" w:cs="Arial"/>
          <w:color w:val="262626" w:themeColor="text1" w:themeTint="D9"/>
          <w:szCs w:val="20"/>
          <w:lang w:val="en-US"/>
        </w:rPr>
        <w:t>he aid intensity in present gross grant equivalent shall not exceed the</w:t>
      </w:r>
      <w:r w:rsidRPr="00F73C3A">
        <w:rPr>
          <w:rFonts w:ascii="Calibri" w:hAnsi="Calibri" w:cs="Arial"/>
          <w:color w:val="262626" w:themeColor="text1" w:themeTint="D9"/>
          <w:szCs w:val="20"/>
          <w:lang w:val="en-US"/>
        </w:rPr>
        <w:t xml:space="preserve"> </w:t>
      </w:r>
      <w:r w:rsidR="000011CF" w:rsidRPr="00F73C3A">
        <w:rPr>
          <w:rFonts w:ascii="Calibri" w:hAnsi="Calibri" w:cs="Arial"/>
          <w:color w:val="262626" w:themeColor="text1" w:themeTint="D9"/>
          <w:szCs w:val="20"/>
          <w:lang w:val="en-US"/>
        </w:rPr>
        <w:t xml:space="preserve">regional aid threshold which is in force at the time the aid is granted as set out in the regional Assisted Areas aid map for the period </w:t>
      </w:r>
      <w:r w:rsidR="00543D6A" w:rsidRPr="00F73C3A">
        <w:rPr>
          <w:rFonts w:ascii="Calibri" w:hAnsi="Calibri" w:cs="Arial"/>
          <w:color w:val="262626" w:themeColor="text1" w:themeTint="D9"/>
          <w:szCs w:val="20"/>
          <w:lang w:val="en-US"/>
        </w:rPr>
        <w:t>2014 - 2020</w:t>
      </w:r>
      <w:r w:rsidR="000011CF" w:rsidRPr="00F73C3A">
        <w:rPr>
          <w:rFonts w:ascii="Calibri" w:hAnsi="Calibri" w:cs="Arial"/>
          <w:color w:val="262626" w:themeColor="text1" w:themeTint="D9"/>
          <w:szCs w:val="20"/>
          <w:lang w:val="en-US"/>
        </w:rPr>
        <w:t>.</w:t>
      </w:r>
      <w:r w:rsidRPr="00F73C3A">
        <w:rPr>
          <w:rFonts w:ascii="Calibri" w:hAnsi="Calibri" w:cs="Arial"/>
          <w:color w:val="262626" w:themeColor="text1" w:themeTint="D9"/>
          <w:szCs w:val="20"/>
          <w:lang w:val="en-US"/>
        </w:rPr>
        <w:t xml:space="preserve"> </w:t>
      </w:r>
    </w:p>
    <w:p w:rsidR="00A3093D" w:rsidRPr="00F73C3A" w:rsidRDefault="009362B2" w:rsidP="00A6625D">
      <w:pPr>
        <w:rPr>
          <w:rFonts w:ascii="Calibri" w:hAnsi="Calibri"/>
          <w:color w:val="262626" w:themeColor="text1" w:themeTint="D9"/>
          <w:lang w:val="en-US"/>
        </w:rPr>
      </w:pPr>
      <w:r w:rsidRPr="00F73C3A">
        <w:rPr>
          <w:rFonts w:ascii="Calibri" w:hAnsi="Calibri"/>
          <w:color w:val="262626" w:themeColor="text1" w:themeTint="D9"/>
          <w:lang w:val="en-US"/>
        </w:rPr>
        <w:lastRenderedPageBreak/>
        <w:t xml:space="preserve">For the </w:t>
      </w:r>
      <w:r w:rsidR="00612905" w:rsidRPr="00F73C3A">
        <w:rPr>
          <w:rFonts w:ascii="Calibri" w:hAnsi="Calibri"/>
          <w:color w:val="262626" w:themeColor="text1" w:themeTint="D9"/>
          <w:lang w:val="en-US"/>
        </w:rPr>
        <w:t>Cumbria</w:t>
      </w:r>
      <w:r w:rsidRPr="00F73C3A">
        <w:rPr>
          <w:rFonts w:ascii="Calibri" w:hAnsi="Calibri"/>
          <w:color w:val="262626" w:themeColor="text1" w:themeTint="D9"/>
          <w:lang w:val="en-US"/>
        </w:rPr>
        <w:t xml:space="preserve">, the threshold is 10% for </w:t>
      </w:r>
      <w:r w:rsidR="00543D6A" w:rsidRPr="00F73C3A">
        <w:rPr>
          <w:rFonts w:ascii="Calibri" w:hAnsi="Calibri"/>
          <w:color w:val="262626" w:themeColor="text1" w:themeTint="D9"/>
          <w:lang w:val="en-US"/>
        </w:rPr>
        <w:t xml:space="preserve">all assisted </w:t>
      </w:r>
      <w:r w:rsidRPr="00F73C3A">
        <w:rPr>
          <w:rFonts w:ascii="Calibri" w:hAnsi="Calibri"/>
          <w:color w:val="262626" w:themeColor="text1" w:themeTint="D9"/>
          <w:lang w:val="en-US"/>
        </w:rPr>
        <w:t>wards</w:t>
      </w:r>
      <w:r w:rsidR="00E44D4B" w:rsidRPr="00F73C3A">
        <w:rPr>
          <w:rFonts w:ascii="Calibri" w:hAnsi="Calibri"/>
          <w:color w:val="262626" w:themeColor="text1" w:themeTint="D9"/>
          <w:lang w:val="en-US"/>
        </w:rPr>
        <w:t>.</w:t>
      </w:r>
      <w:r w:rsidRPr="00F73C3A">
        <w:rPr>
          <w:rFonts w:ascii="Calibri" w:hAnsi="Calibri"/>
          <w:color w:val="262626" w:themeColor="text1" w:themeTint="D9"/>
          <w:lang w:val="en-US"/>
        </w:rPr>
        <w:t xml:space="preserve"> </w:t>
      </w:r>
      <w:r w:rsidR="00A3093D" w:rsidRPr="00F73C3A">
        <w:rPr>
          <w:rFonts w:ascii="Calibri" w:hAnsi="Calibri"/>
          <w:color w:val="262626" w:themeColor="text1" w:themeTint="D9"/>
          <w:lang w:val="en-US"/>
        </w:rPr>
        <w:t>A full list of all wa</w:t>
      </w:r>
      <w:r w:rsidR="00B3076A" w:rsidRPr="00F73C3A">
        <w:rPr>
          <w:rFonts w:ascii="Calibri" w:hAnsi="Calibri"/>
          <w:color w:val="262626" w:themeColor="text1" w:themeTint="D9"/>
          <w:lang w:val="en-US"/>
        </w:rPr>
        <w:t>rds by UA is included in</w:t>
      </w:r>
      <w:r w:rsidR="0026375B" w:rsidRPr="00F73C3A">
        <w:rPr>
          <w:rFonts w:ascii="Calibri" w:hAnsi="Calibri"/>
          <w:color w:val="262626" w:themeColor="text1" w:themeTint="D9"/>
          <w:lang w:val="en-US"/>
        </w:rPr>
        <w:t xml:space="preserve"> Annex C</w:t>
      </w:r>
      <w:r w:rsidR="00A3093D" w:rsidRPr="00F73C3A">
        <w:rPr>
          <w:rFonts w:ascii="Calibri" w:hAnsi="Calibri"/>
          <w:color w:val="262626" w:themeColor="text1" w:themeTint="D9"/>
          <w:lang w:val="en-US"/>
        </w:rPr>
        <w:t>.</w:t>
      </w:r>
    </w:p>
    <w:p w:rsidR="000011CF" w:rsidRPr="00F73C3A" w:rsidRDefault="000011CF" w:rsidP="00A6625D">
      <w:pPr>
        <w:rPr>
          <w:rFonts w:ascii="Calibri" w:hAnsi="Calibri"/>
          <w:color w:val="262626" w:themeColor="text1" w:themeTint="D9"/>
          <w:lang w:val="en-US"/>
        </w:rPr>
      </w:pPr>
      <w:r w:rsidRPr="00F73C3A">
        <w:rPr>
          <w:rFonts w:ascii="Calibri" w:hAnsi="Calibri"/>
          <w:color w:val="262626" w:themeColor="text1" w:themeTint="D9"/>
          <w:lang w:val="en-US"/>
        </w:rPr>
        <w:t>The thresholds may be increased by 20% for aid awarded to small enterprises and by 10% for aid awarded to medium-sized enterprises.</w:t>
      </w:r>
    </w:p>
    <w:p w:rsidR="000011CF" w:rsidRPr="00F73C3A" w:rsidRDefault="000011CF" w:rsidP="00A6625D">
      <w:pPr>
        <w:rPr>
          <w:rFonts w:ascii="Calibri" w:hAnsi="Calibri"/>
          <w:color w:val="262626" w:themeColor="text1" w:themeTint="D9"/>
          <w:lang w:val="en-US"/>
        </w:rPr>
      </w:pPr>
      <w:r w:rsidRPr="00F73C3A">
        <w:rPr>
          <w:rFonts w:ascii="Calibri" w:hAnsi="Calibri"/>
          <w:color w:val="262626" w:themeColor="text1" w:themeTint="D9"/>
          <w:lang w:val="en-US"/>
        </w:rPr>
        <w:t>The thresholds shall apply to the intensity of the aid calculated either as a percentage of the investment’s eligible tangible and intangible costs or as a percentage of the estimated wage costs of the person hired, calculated over a period of two years, for employment directly created by the investment project.</w:t>
      </w:r>
    </w:p>
    <w:p w:rsidR="000011CF" w:rsidRPr="00F73C3A" w:rsidRDefault="000011CF" w:rsidP="00A6625D">
      <w:pPr>
        <w:rPr>
          <w:rFonts w:ascii="Calibri" w:hAnsi="Calibri"/>
          <w:color w:val="262626" w:themeColor="text1" w:themeTint="D9"/>
          <w:lang w:val="en-US"/>
        </w:rPr>
      </w:pPr>
      <w:r w:rsidRPr="00F73C3A">
        <w:rPr>
          <w:rFonts w:ascii="Calibri" w:hAnsi="Calibri"/>
          <w:color w:val="262626" w:themeColor="text1" w:themeTint="D9"/>
          <w:lang w:val="en-US"/>
        </w:rPr>
        <w:t xml:space="preserve">In determining whether these maximum aid intensities laid down in are respected, the total amount of public support measures for the aided activity or project shall be </w:t>
      </w:r>
      <w:r w:rsidR="004B5BDB" w:rsidRPr="00F73C3A">
        <w:rPr>
          <w:rFonts w:ascii="Calibri" w:hAnsi="Calibri"/>
          <w:color w:val="262626" w:themeColor="text1" w:themeTint="D9"/>
          <w:lang w:val="en-US"/>
        </w:rPr>
        <w:t>t</w:t>
      </w:r>
      <w:r w:rsidRPr="00F73C3A">
        <w:rPr>
          <w:rFonts w:ascii="Calibri" w:hAnsi="Calibri"/>
          <w:color w:val="262626" w:themeColor="text1" w:themeTint="D9"/>
          <w:lang w:val="en-US"/>
        </w:rPr>
        <w:t>aken into account, regardless of whether that support is financed from local, regional, national or Community sources.</w:t>
      </w:r>
      <w:r w:rsidR="001C01C2" w:rsidRPr="00F73C3A">
        <w:rPr>
          <w:rFonts w:ascii="Calibri" w:hAnsi="Calibri"/>
          <w:color w:val="262626" w:themeColor="text1" w:themeTint="D9"/>
          <w:lang w:val="en-US"/>
        </w:rPr>
        <w:t xml:space="preserve"> </w:t>
      </w:r>
    </w:p>
    <w:p w:rsidR="000011CF" w:rsidRPr="00F73C3A" w:rsidRDefault="00612905" w:rsidP="00522BCB">
      <w:pPr>
        <w:rPr>
          <w:rFonts w:ascii="Calibri" w:hAnsi="Calibri" w:cs="Arial"/>
          <w:color w:val="262626" w:themeColor="text1" w:themeTint="D9"/>
          <w:szCs w:val="20"/>
          <w:lang w:val="en-US"/>
        </w:rPr>
      </w:pPr>
      <w:r w:rsidRPr="00F73C3A">
        <w:rPr>
          <w:rFonts w:ascii="Calibri" w:hAnsi="Calibri"/>
          <w:color w:val="262626" w:themeColor="text1" w:themeTint="D9"/>
          <w:lang w:val="en-US"/>
        </w:rPr>
        <w:t>Cumbria Growth Fund</w:t>
      </w:r>
      <w:r w:rsidR="000011CF" w:rsidRPr="00F73C3A">
        <w:rPr>
          <w:rFonts w:ascii="Calibri" w:hAnsi="Calibri"/>
          <w:color w:val="262626" w:themeColor="text1" w:themeTint="D9"/>
          <w:lang w:val="en-US"/>
        </w:rPr>
        <w:t xml:space="preserve"> may be cumulated with any other a</w:t>
      </w:r>
      <w:r w:rsidR="00A6625D" w:rsidRPr="00F73C3A">
        <w:rPr>
          <w:rFonts w:ascii="Calibri" w:hAnsi="Calibri"/>
          <w:color w:val="262626" w:themeColor="text1" w:themeTint="D9"/>
          <w:lang w:val="en-US"/>
        </w:rPr>
        <w:t xml:space="preserve">id granted under an EC notified </w:t>
      </w:r>
      <w:r w:rsidR="000011CF" w:rsidRPr="00F73C3A">
        <w:rPr>
          <w:rFonts w:ascii="Calibri" w:hAnsi="Calibri"/>
          <w:color w:val="262626" w:themeColor="text1" w:themeTint="D9"/>
          <w:lang w:val="en-US"/>
        </w:rPr>
        <w:t>scheme (for example training aid and aid for research and development)</w:t>
      </w:r>
      <w:r w:rsidR="00A6625D" w:rsidRPr="00F73C3A">
        <w:rPr>
          <w:rFonts w:ascii="Calibri" w:hAnsi="Calibri"/>
          <w:color w:val="262626" w:themeColor="text1" w:themeTint="D9"/>
          <w:lang w:val="en-US"/>
        </w:rPr>
        <w:t xml:space="preserve"> </w:t>
      </w:r>
      <w:r w:rsidR="000011CF" w:rsidRPr="00F73C3A">
        <w:rPr>
          <w:rFonts w:ascii="Calibri" w:hAnsi="Calibri"/>
          <w:color w:val="262626" w:themeColor="text1" w:themeTint="D9"/>
          <w:lang w:val="en-US"/>
        </w:rPr>
        <w:t>as long as those aid measures concern different identifiable eligible costs.</w:t>
      </w:r>
    </w:p>
    <w:p w:rsidR="004B5BDB" w:rsidRPr="00F73C3A" w:rsidRDefault="004B5BDB" w:rsidP="003E6D0C">
      <w:pPr>
        <w:pStyle w:val="Heading3"/>
        <w:rPr>
          <w:rFonts w:ascii="Calibri" w:hAnsi="Calibri"/>
          <w:color w:val="262626" w:themeColor="text1" w:themeTint="D9"/>
          <w:lang w:val="en-US"/>
        </w:rPr>
      </w:pPr>
      <w:bookmarkStart w:id="69" w:name="_Toc349307615"/>
      <w:bookmarkStart w:id="70" w:name="_Toc349307764"/>
      <w:bookmarkStart w:id="71" w:name="_Toc349308197"/>
      <w:bookmarkStart w:id="72" w:name="_Toc349308274"/>
      <w:bookmarkStart w:id="73" w:name="_Toc349308382"/>
      <w:bookmarkStart w:id="74" w:name="_Toc349308475"/>
      <w:r w:rsidRPr="00F73C3A">
        <w:rPr>
          <w:rFonts w:ascii="Calibri" w:hAnsi="Calibri"/>
          <w:color w:val="262626" w:themeColor="text1" w:themeTint="D9"/>
          <w:lang w:val="en-US"/>
        </w:rPr>
        <w:t>SME Investment Aid</w:t>
      </w:r>
      <w:bookmarkEnd w:id="69"/>
      <w:bookmarkEnd w:id="70"/>
      <w:bookmarkEnd w:id="71"/>
      <w:bookmarkEnd w:id="72"/>
      <w:bookmarkEnd w:id="73"/>
      <w:bookmarkEnd w:id="74"/>
    </w:p>
    <w:p w:rsidR="000011CF" w:rsidRPr="00F73C3A" w:rsidRDefault="00612905">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Cumbria Growth Fund</w:t>
      </w:r>
      <w:r w:rsidR="004F4708" w:rsidRPr="00F73C3A">
        <w:rPr>
          <w:rFonts w:ascii="Calibri" w:hAnsi="Calibri" w:cs="Arial"/>
          <w:color w:val="262626" w:themeColor="text1" w:themeTint="D9"/>
          <w:szCs w:val="20"/>
          <w:lang w:val="en-US"/>
        </w:rPr>
        <w:t xml:space="preserve"> SME</w:t>
      </w:r>
      <w:r w:rsidR="000011CF" w:rsidRPr="00F73C3A">
        <w:rPr>
          <w:rFonts w:ascii="Calibri" w:hAnsi="Calibri" w:cs="Arial"/>
          <w:color w:val="262626" w:themeColor="text1" w:themeTint="D9"/>
          <w:szCs w:val="20"/>
          <w:lang w:val="en-US"/>
        </w:rPr>
        <w:t xml:space="preserve"> investment aid in favour of small and medium-sized enterprises operating outside the Assisted Areas of the </w:t>
      </w:r>
      <w:r w:rsidRPr="00F73C3A">
        <w:rPr>
          <w:rFonts w:ascii="Calibri" w:hAnsi="Calibri" w:cs="Arial"/>
          <w:color w:val="262626" w:themeColor="text1" w:themeTint="D9"/>
          <w:szCs w:val="20"/>
          <w:lang w:val="en-US"/>
        </w:rPr>
        <w:t>Cumbria</w:t>
      </w:r>
      <w:r w:rsidR="000011CF" w:rsidRPr="00F73C3A">
        <w:rPr>
          <w:rFonts w:ascii="Calibri" w:hAnsi="Calibri" w:cs="Arial"/>
          <w:color w:val="262626" w:themeColor="text1" w:themeTint="D9"/>
          <w:szCs w:val="20"/>
          <w:lang w:val="en-US"/>
        </w:rPr>
        <w:t xml:space="preserve"> shall be compatible with EC State Aid rules, provided that the following conditions are fulfilled:</w:t>
      </w:r>
    </w:p>
    <w:p w:rsidR="000011CF" w:rsidRPr="00F73C3A" w:rsidRDefault="000011CF" w:rsidP="00F61707">
      <w:pPr>
        <w:pStyle w:val="ListParagraph"/>
        <w:numPr>
          <w:ilvl w:val="1"/>
          <w:numId w:val="6"/>
        </w:numPr>
        <w:autoSpaceDE w:val="0"/>
        <w:autoSpaceDN w:val="0"/>
        <w:adjustRightInd w:val="0"/>
        <w:ind w:left="567"/>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The gross aid intensity shall not exceed:</w:t>
      </w:r>
    </w:p>
    <w:p w:rsidR="000011CF" w:rsidRPr="00F73C3A" w:rsidRDefault="000011CF" w:rsidP="00F61707">
      <w:pPr>
        <w:pStyle w:val="ListParagraph"/>
        <w:numPr>
          <w:ilvl w:val="1"/>
          <w:numId w:val="47"/>
        </w:num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20% i</w:t>
      </w:r>
      <w:r w:rsidR="004F4708" w:rsidRPr="00F73C3A">
        <w:rPr>
          <w:rFonts w:ascii="Calibri" w:hAnsi="Calibri" w:cs="Arial"/>
          <w:color w:val="262626" w:themeColor="text1" w:themeTint="D9"/>
          <w:szCs w:val="20"/>
          <w:lang w:val="en-US"/>
        </w:rPr>
        <w:t>n the case of small enterprises</w:t>
      </w:r>
    </w:p>
    <w:p w:rsidR="000011CF" w:rsidRPr="00F73C3A" w:rsidRDefault="000011CF" w:rsidP="00F61707">
      <w:pPr>
        <w:pStyle w:val="ListParagraph"/>
        <w:numPr>
          <w:ilvl w:val="1"/>
          <w:numId w:val="47"/>
        </w:num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10% in the c</w:t>
      </w:r>
      <w:r w:rsidR="004F4708" w:rsidRPr="00F73C3A">
        <w:rPr>
          <w:rFonts w:ascii="Calibri" w:hAnsi="Calibri" w:cs="Arial"/>
          <w:color w:val="262626" w:themeColor="text1" w:themeTint="D9"/>
          <w:szCs w:val="20"/>
          <w:lang w:val="en-US"/>
        </w:rPr>
        <w:t>ase of medium-sized enterprises</w:t>
      </w:r>
    </w:p>
    <w:p w:rsidR="004F4708" w:rsidRPr="00F73C3A" w:rsidRDefault="004F4708" w:rsidP="004F4708">
      <w:pPr>
        <w:pStyle w:val="ListParagraph"/>
        <w:autoSpaceDE w:val="0"/>
        <w:autoSpaceDN w:val="0"/>
        <w:adjustRightInd w:val="0"/>
        <w:rPr>
          <w:rFonts w:ascii="Calibri" w:hAnsi="Calibri" w:cs="Arial"/>
          <w:color w:val="262626" w:themeColor="text1" w:themeTint="D9"/>
          <w:szCs w:val="20"/>
          <w:lang w:val="en-US"/>
        </w:rPr>
      </w:pPr>
    </w:p>
    <w:p w:rsidR="000011CF" w:rsidRPr="00F73C3A" w:rsidRDefault="000011CF" w:rsidP="00F61707">
      <w:pPr>
        <w:pStyle w:val="ListParagraph"/>
        <w:numPr>
          <w:ilvl w:val="0"/>
          <w:numId w:val="6"/>
        </w:num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 xml:space="preserve">The eligible costs for the purposes of determining the aid ceiling for </w:t>
      </w:r>
      <w:r w:rsidR="004B5BDB" w:rsidRPr="00F73C3A">
        <w:rPr>
          <w:rFonts w:ascii="Calibri" w:hAnsi="Calibri" w:cs="Arial"/>
          <w:color w:val="262626" w:themeColor="text1" w:themeTint="D9"/>
          <w:szCs w:val="20"/>
          <w:lang w:val="en-US"/>
        </w:rPr>
        <w:t xml:space="preserve">an </w:t>
      </w:r>
      <w:r w:rsidRPr="00F73C3A">
        <w:rPr>
          <w:rFonts w:ascii="Calibri" w:hAnsi="Calibri" w:cs="Arial"/>
          <w:color w:val="262626" w:themeColor="text1" w:themeTint="D9"/>
          <w:szCs w:val="20"/>
          <w:lang w:val="en-US"/>
        </w:rPr>
        <w:t>investment project shall be the following:</w:t>
      </w:r>
    </w:p>
    <w:p w:rsidR="000011CF" w:rsidRPr="00F73C3A" w:rsidRDefault="000011CF" w:rsidP="00F61707">
      <w:pPr>
        <w:pStyle w:val="ListParagraph"/>
        <w:numPr>
          <w:ilvl w:val="1"/>
          <w:numId w:val="48"/>
        </w:num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the cost of investment in tangible and in</w:t>
      </w:r>
      <w:r w:rsidR="004F4708" w:rsidRPr="00F73C3A">
        <w:rPr>
          <w:rFonts w:ascii="Calibri" w:hAnsi="Calibri" w:cs="Arial"/>
          <w:color w:val="262626" w:themeColor="text1" w:themeTint="D9"/>
          <w:szCs w:val="20"/>
          <w:lang w:val="en-US"/>
        </w:rPr>
        <w:t>tangible assets,</w:t>
      </w:r>
      <w:r w:rsidRPr="00F73C3A">
        <w:rPr>
          <w:rFonts w:ascii="Calibri" w:hAnsi="Calibri" w:cs="Arial"/>
          <w:color w:val="262626" w:themeColor="text1" w:themeTint="D9"/>
          <w:szCs w:val="20"/>
          <w:lang w:val="en-US"/>
        </w:rPr>
        <w:t xml:space="preserve"> or</w:t>
      </w:r>
    </w:p>
    <w:p w:rsidR="00B3076A" w:rsidRPr="00F73C3A" w:rsidRDefault="000011CF" w:rsidP="00F61707">
      <w:pPr>
        <w:pStyle w:val="ListParagraph"/>
        <w:numPr>
          <w:ilvl w:val="1"/>
          <w:numId w:val="48"/>
        </w:num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the estimated wage costs of employment directly created by the</w:t>
      </w:r>
      <w:r w:rsidR="004B5BDB"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investment project, calculated over a period of two years.</w:t>
      </w:r>
    </w:p>
    <w:p w:rsidR="00321798" w:rsidRPr="00F73C3A" w:rsidRDefault="00321798" w:rsidP="004F4708">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In summary, the maximum grant available for capital investment projects (as a percentage of eligible costs) is:</w:t>
      </w:r>
    </w:p>
    <w:tbl>
      <w:tblPr>
        <w:tblW w:w="5900" w:type="dxa"/>
        <w:tblInd w:w="93" w:type="dxa"/>
        <w:tblLook w:val="04A0" w:firstRow="1" w:lastRow="0" w:firstColumn="1" w:lastColumn="0" w:noHBand="0" w:noVBand="1"/>
      </w:tblPr>
      <w:tblGrid>
        <w:gridCol w:w="2600"/>
        <w:gridCol w:w="1640"/>
        <w:gridCol w:w="1660"/>
      </w:tblGrid>
      <w:tr w:rsidR="00F73C3A" w:rsidRPr="00F73C3A" w:rsidTr="003B0C80">
        <w:trPr>
          <w:trHeight w:val="87"/>
        </w:trPr>
        <w:tc>
          <w:tcPr>
            <w:tcW w:w="2600" w:type="dxa"/>
            <w:tcBorders>
              <w:top w:val="single" w:sz="12" w:space="0" w:color="1F497D" w:themeColor="text2"/>
              <w:left w:val="nil"/>
              <w:bottom w:val="nil"/>
              <w:right w:val="nil"/>
            </w:tcBorders>
            <w:shd w:val="clear" w:color="auto" w:fill="auto"/>
            <w:noWrap/>
            <w:vAlign w:val="bottom"/>
            <w:hideMark/>
          </w:tcPr>
          <w:p w:rsidR="003B0C80" w:rsidRPr="00F73C3A" w:rsidRDefault="003B0C80" w:rsidP="00A6625D">
            <w:pPr>
              <w:spacing w:after="0"/>
              <w:rPr>
                <w:rFonts w:ascii="Calibri" w:hAnsi="Calibri" w:cs="Arial"/>
                <w:b/>
                <w:bCs/>
                <w:color w:val="262626" w:themeColor="text1" w:themeTint="D9"/>
                <w:lang w:eastAsia="en-GB"/>
              </w:rPr>
            </w:pPr>
            <w:r w:rsidRPr="00F73C3A">
              <w:rPr>
                <w:rFonts w:ascii="Calibri" w:hAnsi="Calibri" w:cs="Arial"/>
                <w:b/>
                <w:bCs/>
                <w:color w:val="262626" w:themeColor="text1" w:themeTint="D9"/>
                <w:lang w:eastAsia="en-GB"/>
              </w:rPr>
              <w:t>Size of company</w:t>
            </w:r>
          </w:p>
        </w:tc>
        <w:tc>
          <w:tcPr>
            <w:tcW w:w="1640" w:type="dxa"/>
            <w:tcBorders>
              <w:top w:val="single" w:sz="12" w:space="0" w:color="1F497D" w:themeColor="text2"/>
              <w:left w:val="nil"/>
              <w:bottom w:val="nil"/>
              <w:right w:val="nil"/>
            </w:tcBorders>
            <w:shd w:val="clear" w:color="auto" w:fill="auto"/>
            <w:noWrap/>
            <w:vAlign w:val="bottom"/>
            <w:hideMark/>
          </w:tcPr>
          <w:p w:rsidR="003B0C80" w:rsidRPr="00F73C3A" w:rsidRDefault="003B0C80" w:rsidP="00522BCB">
            <w:pPr>
              <w:spacing w:after="0"/>
              <w:jc w:val="right"/>
              <w:rPr>
                <w:rFonts w:ascii="Calibri" w:hAnsi="Calibri" w:cs="Arial"/>
                <w:b/>
                <w:bCs/>
                <w:color w:val="262626" w:themeColor="text1" w:themeTint="D9"/>
                <w:lang w:eastAsia="en-GB"/>
              </w:rPr>
            </w:pPr>
            <w:r w:rsidRPr="00F73C3A">
              <w:rPr>
                <w:rFonts w:ascii="Calibri" w:hAnsi="Calibri" w:cs="Arial"/>
                <w:b/>
                <w:bCs/>
                <w:color w:val="262626" w:themeColor="text1" w:themeTint="D9"/>
                <w:lang w:eastAsia="en-GB"/>
              </w:rPr>
              <w:t>Non-assisted</w:t>
            </w:r>
          </w:p>
        </w:tc>
        <w:tc>
          <w:tcPr>
            <w:tcW w:w="1660" w:type="dxa"/>
            <w:tcBorders>
              <w:top w:val="single" w:sz="12" w:space="0" w:color="1F497D" w:themeColor="text2"/>
              <w:left w:val="nil"/>
              <w:bottom w:val="nil"/>
              <w:right w:val="nil"/>
            </w:tcBorders>
            <w:shd w:val="clear" w:color="auto" w:fill="auto"/>
            <w:noWrap/>
            <w:vAlign w:val="bottom"/>
            <w:hideMark/>
          </w:tcPr>
          <w:p w:rsidR="003B0C80" w:rsidRPr="00F73C3A" w:rsidRDefault="003B0C80" w:rsidP="00522BCB">
            <w:pPr>
              <w:spacing w:after="0"/>
              <w:jc w:val="right"/>
              <w:rPr>
                <w:rFonts w:ascii="Calibri" w:hAnsi="Calibri" w:cs="Arial"/>
                <w:b/>
                <w:bCs/>
                <w:color w:val="262626" w:themeColor="text1" w:themeTint="D9"/>
                <w:lang w:eastAsia="en-GB"/>
              </w:rPr>
            </w:pPr>
            <w:r w:rsidRPr="00F73C3A">
              <w:rPr>
                <w:rFonts w:ascii="Calibri" w:hAnsi="Calibri" w:cs="Arial"/>
                <w:b/>
                <w:bCs/>
                <w:color w:val="262626" w:themeColor="text1" w:themeTint="D9"/>
                <w:lang w:eastAsia="en-GB"/>
              </w:rPr>
              <w:t xml:space="preserve">Assisted </w:t>
            </w:r>
          </w:p>
        </w:tc>
      </w:tr>
      <w:tr w:rsidR="00F73C3A" w:rsidRPr="00F73C3A" w:rsidTr="003B0C80">
        <w:trPr>
          <w:trHeight w:val="300"/>
        </w:trPr>
        <w:tc>
          <w:tcPr>
            <w:tcW w:w="2600" w:type="dxa"/>
            <w:tcBorders>
              <w:top w:val="nil"/>
              <w:left w:val="nil"/>
              <w:bottom w:val="single" w:sz="6" w:space="0" w:color="1F497D" w:themeColor="text2"/>
              <w:right w:val="nil"/>
            </w:tcBorders>
            <w:shd w:val="clear" w:color="auto" w:fill="auto"/>
            <w:noWrap/>
            <w:vAlign w:val="bottom"/>
            <w:hideMark/>
          </w:tcPr>
          <w:p w:rsidR="003B0C80" w:rsidRPr="00F73C3A" w:rsidRDefault="003B0C80" w:rsidP="00321798">
            <w:pPr>
              <w:rPr>
                <w:rFonts w:ascii="Calibri" w:hAnsi="Calibri" w:cs="Arial"/>
                <w:b/>
                <w:bCs/>
                <w:color w:val="262626" w:themeColor="text1" w:themeTint="D9"/>
                <w:lang w:eastAsia="en-GB"/>
              </w:rPr>
            </w:pPr>
            <w:r w:rsidRPr="00F73C3A">
              <w:rPr>
                <w:rFonts w:ascii="Calibri" w:hAnsi="Calibri" w:cs="Arial"/>
                <w:b/>
                <w:bCs/>
                <w:color w:val="262626" w:themeColor="text1" w:themeTint="D9"/>
                <w:lang w:eastAsia="en-GB"/>
              </w:rPr>
              <w:t> </w:t>
            </w:r>
          </w:p>
        </w:tc>
        <w:tc>
          <w:tcPr>
            <w:tcW w:w="1640" w:type="dxa"/>
            <w:tcBorders>
              <w:top w:val="nil"/>
              <w:left w:val="nil"/>
              <w:bottom w:val="single" w:sz="6" w:space="0" w:color="1F497D" w:themeColor="text2"/>
              <w:right w:val="nil"/>
            </w:tcBorders>
            <w:shd w:val="clear" w:color="auto" w:fill="auto"/>
            <w:noWrap/>
            <w:vAlign w:val="bottom"/>
            <w:hideMark/>
          </w:tcPr>
          <w:p w:rsidR="003B0C80" w:rsidRPr="00F73C3A" w:rsidRDefault="003B0C80" w:rsidP="00522BCB">
            <w:pPr>
              <w:jc w:val="right"/>
              <w:rPr>
                <w:rFonts w:ascii="Calibri" w:hAnsi="Calibri" w:cs="Arial"/>
                <w:b/>
                <w:bCs/>
                <w:color w:val="262626" w:themeColor="text1" w:themeTint="D9"/>
                <w:lang w:eastAsia="en-GB"/>
              </w:rPr>
            </w:pPr>
            <w:r w:rsidRPr="00F73C3A">
              <w:rPr>
                <w:rFonts w:ascii="Calibri" w:hAnsi="Calibri" w:cs="Arial"/>
                <w:b/>
                <w:bCs/>
                <w:color w:val="262626" w:themeColor="text1" w:themeTint="D9"/>
                <w:lang w:eastAsia="en-GB"/>
              </w:rPr>
              <w:t>area</w:t>
            </w:r>
          </w:p>
        </w:tc>
        <w:tc>
          <w:tcPr>
            <w:tcW w:w="1660" w:type="dxa"/>
            <w:tcBorders>
              <w:top w:val="nil"/>
              <w:left w:val="nil"/>
              <w:bottom w:val="single" w:sz="6" w:space="0" w:color="1F497D" w:themeColor="text2"/>
              <w:right w:val="nil"/>
            </w:tcBorders>
            <w:shd w:val="clear" w:color="auto" w:fill="auto"/>
            <w:noWrap/>
            <w:vAlign w:val="bottom"/>
            <w:hideMark/>
          </w:tcPr>
          <w:p w:rsidR="003B0C80" w:rsidRPr="00F73C3A" w:rsidRDefault="003B0C80" w:rsidP="00522BCB">
            <w:pPr>
              <w:jc w:val="right"/>
              <w:rPr>
                <w:rFonts w:ascii="Calibri" w:hAnsi="Calibri" w:cs="Arial"/>
                <w:b/>
                <w:bCs/>
                <w:color w:val="262626" w:themeColor="text1" w:themeTint="D9"/>
                <w:lang w:eastAsia="en-GB"/>
              </w:rPr>
            </w:pPr>
            <w:r w:rsidRPr="00F73C3A">
              <w:rPr>
                <w:rFonts w:ascii="Calibri" w:hAnsi="Calibri" w:cs="Arial"/>
                <w:b/>
                <w:bCs/>
                <w:color w:val="262626" w:themeColor="text1" w:themeTint="D9"/>
                <w:lang w:eastAsia="en-GB"/>
              </w:rPr>
              <w:t>Area</w:t>
            </w:r>
          </w:p>
        </w:tc>
      </w:tr>
      <w:tr w:rsidR="00F73C3A" w:rsidRPr="00F73C3A" w:rsidTr="003B0C80">
        <w:trPr>
          <w:trHeight w:val="285"/>
        </w:trPr>
        <w:tc>
          <w:tcPr>
            <w:tcW w:w="2600" w:type="dxa"/>
            <w:tcBorders>
              <w:top w:val="single" w:sz="6" w:space="0" w:color="1F497D" w:themeColor="text2"/>
              <w:left w:val="nil"/>
              <w:bottom w:val="nil"/>
              <w:right w:val="nil"/>
            </w:tcBorders>
            <w:shd w:val="clear" w:color="auto" w:fill="auto"/>
            <w:noWrap/>
            <w:vAlign w:val="center"/>
            <w:hideMark/>
          </w:tcPr>
          <w:p w:rsidR="003B0C80" w:rsidRPr="00F73C3A" w:rsidRDefault="003B0C80" w:rsidP="00522BCB">
            <w:pPr>
              <w:spacing w:after="0"/>
              <w:jc w:val="left"/>
              <w:rPr>
                <w:rFonts w:ascii="Calibri" w:hAnsi="Calibri" w:cs="Arial"/>
                <w:color w:val="262626" w:themeColor="text1" w:themeTint="D9"/>
                <w:lang w:eastAsia="en-GB"/>
              </w:rPr>
            </w:pPr>
            <w:r w:rsidRPr="00F73C3A">
              <w:rPr>
                <w:rFonts w:ascii="Calibri" w:hAnsi="Calibri" w:cs="Arial"/>
                <w:color w:val="262626" w:themeColor="text1" w:themeTint="D9"/>
                <w:lang w:eastAsia="en-GB"/>
              </w:rPr>
              <w:t>Large</w:t>
            </w:r>
          </w:p>
        </w:tc>
        <w:tc>
          <w:tcPr>
            <w:tcW w:w="1640" w:type="dxa"/>
            <w:tcBorders>
              <w:top w:val="single" w:sz="6" w:space="0" w:color="1F497D" w:themeColor="text2"/>
              <w:left w:val="nil"/>
              <w:bottom w:val="nil"/>
              <w:right w:val="nil"/>
            </w:tcBorders>
            <w:shd w:val="clear" w:color="auto" w:fill="auto"/>
            <w:noWrap/>
            <w:vAlign w:val="center"/>
            <w:hideMark/>
          </w:tcPr>
          <w:p w:rsidR="003B0C80" w:rsidRPr="00F73C3A" w:rsidRDefault="003B0C80" w:rsidP="00522BCB">
            <w:pPr>
              <w:spacing w:after="0"/>
              <w:jc w:val="right"/>
              <w:rPr>
                <w:rFonts w:ascii="Calibri" w:hAnsi="Calibri" w:cs="Arial"/>
                <w:color w:val="262626" w:themeColor="text1" w:themeTint="D9"/>
                <w:lang w:eastAsia="en-GB"/>
              </w:rPr>
            </w:pPr>
            <w:r w:rsidRPr="00F73C3A">
              <w:rPr>
                <w:rFonts w:ascii="Calibri" w:hAnsi="Calibri" w:cs="Arial"/>
                <w:color w:val="262626" w:themeColor="text1" w:themeTint="D9"/>
                <w:lang w:eastAsia="en-GB"/>
              </w:rPr>
              <w:t>0%</w:t>
            </w:r>
          </w:p>
        </w:tc>
        <w:tc>
          <w:tcPr>
            <w:tcW w:w="1660" w:type="dxa"/>
            <w:tcBorders>
              <w:top w:val="single" w:sz="6" w:space="0" w:color="1F497D" w:themeColor="text2"/>
              <w:left w:val="nil"/>
              <w:bottom w:val="nil"/>
              <w:right w:val="nil"/>
            </w:tcBorders>
            <w:shd w:val="clear" w:color="auto" w:fill="auto"/>
            <w:noWrap/>
            <w:vAlign w:val="center"/>
            <w:hideMark/>
          </w:tcPr>
          <w:p w:rsidR="003B0C80" w:rsidRPr="00F73C3A" w:rsidRDefault="003B0C80" w:rsidP="00522BCB">
            <w:pPr>
              <w:spacing w:after="0"/>
              <w:jc w:val="right"/>
              <w:rPr>
                <w:rFonts w:ascii="Calibri" w:hAnsi="Calibri" w:cs="Arial"/>
                <w:color w:val="262626" w:themeColor="text1" w:themeTint="D9"/>
                <w:lang w:eastAsia="en-GB"/>
              </w:rPr>
            </w:pPr>
            <w:r w:rsidRPr="00F73C3A">
              <w:rPr>
                <w:rFonts w:ascii="Calibri" w:hAnsi="Calibri" w:cs="Arial"/>
                <w:color w:val="262626" w:themeColor="text1" w:themeTint="D9"/>
                <w:lang w:eastAsia="en-GB"/>
              </w:rPr>
              <w:t>10%</w:t>
            </w:r>
          </w:p>
        </w:tc>
      </w:tr>
      <w:tr w:rsidR="00F73C3A" w:rsidRPr="00F73C3A" w:rsidTr="003B0C80">
        <w:trPr>
          <w:trHeight w:val="285"/>
        </w:trPr>
        <w:tc>
          <w:tcPr>
            <w:tcW w:w="2600" w:type="dxa"/>
            <w:tcBorders>
              <w:top w:val="nil"/>
              <w:left w:val="nil"/>
              <w:right w:val="nil"/>
            </w:tcBorders>
            <w:shd w:val="clear" w:color="auto" w:fill="auto"/>
            <w:noWrap/>
            <w:vAlign w:val="center"/>
            <w:hideMark/>
          </w:tcPr>
          <w:p w:rsidR="003B0C80" w:rsidRPr="00F73C3A" w:rsidRDefault="003B0C80" w:rsidP="00522BCB">
            <w:pPr>
              <w:spacing w:after="0"/>
              <w:jc w:val="left"/>
              <w:rPr>
                <w:rFonts w:ascii="Calibri" w:hAnsi="Calibri" w:cs="Arial"/>
                <w:color w:val="262626" w:themeColor="text1" w:themeTint="D9"/>
                <w:lang w:eastAsia="en-GB"/>
              </w:rPr>
            </w:pPr>
            <w:r w:rsidRPr="00F73C3A">
              <w:rPr>
                <w:rFonts w:ascii="Calibri" w:hAnsi="Calibri" w:cs="Arial"/>
                <w:color w:val="262626" w:themeColor="text1" w:themeTint="D9"/>
                <w:lang w:eastAsia="en-GB"/>
              </w:rPr>
              <w:t>Medium</w:t>
            </w:r>
          </w:p>
        </w:tc>
        <w:tc>
          <w:tcPr>
            <w:tcW w:w="1640" w:type="dxa"/>
            <w:tcBorders>
              <w:top w:val="nil"/>
              <w:left w:val="nil"/>
              <w:right w:val="nil"/>
            </w:tcBorders>
            <w:shd w:val="clear" w:color="auto" w:fill="auto"/>
            <w:noWrap/>
            <w:vAlign w:val="center"/>
            <w:hideMark/>
          </w:tcPr>
          <w:p w:rsidR="003B0C80" w:rsidRPr="00F73C3A" w:rsidRDefault="003B0C80" w:rsidP="00522BCB">
            <w:pPr>
              <w:spacing w:after="0"/>
              <w:jc w:val="right"/>
              <w:rPr>
                <w:rFonts w:ascii="Calibri" w:hAnsi="Calibri" w:cs="Arial"/>
                <w:color w:val="262626" w:themeColor="text1" w:themeTint="D9"/>
                <w:lang w:eastAsia="en-GB"/>
              </w:rPr>
            </w:pPr>
            <w:r w:rsidRPr="00F73C3A">
              <w:rPr>
                <w:rFonts w:ascii="Calibri" w:hAnsi="Calibri" w:cs="Arial"/>
                <w:color w:val="262626" w:themeColor="text1" w:themeTint="D9"/>
                <w:lang w:eastAsia="en-GB"/>
              </w:rPr>
              <w:t>10%</w:t>
            </w:r>
          </w:p>
        </w:tc>
        <w:tc>
          <w:tcPr>
            <w:tcW w:w="1660" w:type="dxa"/>
            <w:tcBorders>
              <w:top w:val="nil"/>
              <w:left w:val="nil"/>
              <w:right w:val="nil"/>
            </w:tcBorders>
            <w:shd w:val="clear" w:color="auto" w:fill="auto"/>
            <w:noWrap/>
            <w:vAlign w:val="center"/>
            <w:hideMark/>
          </w:tcPr>
          <w:p w:rsidR="003B0C80" w:rsidRPr="00F73C3A" w:rsidRDefault="003B0C80" w:rsidP="00522BCB">
            <w:pPr>
              <w:spacing w:after="0"/>
              <w:jc w:val="right"/>
              <w:rPr>
                <w:rFonts w:ascii="Calibri" w:hAnsi="Calibri" w:cs="Arial"/>
                <w:color w:val="262626" w:themeColor="text1" w:themeTint="D9"/>
                <w:lang w:eastAsia="en-GB"/>
              </w:rPr>
            </w:pPr>
            <w:r w:rsidRPr="00F73C3A">
              <w:rPr>
                <w:rFonts w:ascii="Calibri" w:hAnsi="Calibri" w:cs="Arial"/>
                <w:color w:val="262626" w:themeColor="text1" w:themeTint="D9"/>
                <w:lang w:eastAsia="en-GB"/>
              </w:rPr>
              <w:t>20%</w:t>
            </w:r>
          </w:p>
        </w:tc>
      </w:tr>
      <w:tr w:rsidR="003B0C80" w:rsidRPr="00F73C3A" w:rsidTr="003B0C80">
        <w:trPr>
          <w:trHeight w:val="285"/>
        </w:trPr>
        <w:tc>
          <w:tcPr>
            <w:tcW w:w="2600" w:type="dxa"/>
            <w:tcBorders>
              <w:top w:val="nil"/>
              <w:left w:val="nil"/>
              <w:bottom w:val="single" w:sz="12" w:space="0" w:color="1F497D" w:themeColor="text2"/>
              <w:right w:val="nil"/>
            </w:tcBorders>
            <w:shd w:val="clear" w:color="auto" w:fill="auto"/>
            <w:noWrap/>
            <w:vAlign w:val="center"/>
            <w:hideMark/>
          </w:tcPr>
          <w:p w:rsidR="003B0C80" w:rsidRPr="00F73C3A" w:rsidRDefault="003B0C80" w:rsidP="00522BCB">
            <w:pPr>
              <w:spacing w:after="0"/>
              <w:jc w:val="left"/>
              <w:rPr>
                <w:rFonts w:ascii="Calibri" w:hAnsi="Calibri" w:cs="Arial"/>
                <w:color w:val="262626" w:themeColor="text1" w:themeTint="D9"/>
                <w:lang w:eastAsia="en-GB"/>
              </w:rPr>
            </w:pPr>
            <w:r w:rsidRPr="00F73C3A">
              <w:rPr>
                <w:rFonts w:ascii="Calibri" w:hAnsi="Calibri" w:cs="Arial"/>
                <w:color w:val="262626" w:themeColor="text1" w:themeTint="D9"/>
                <w:lang w:eastAsia="en-GB"/>
              </w:rPr>
              <w:t>Small</w:t>
            </w:r>
          </w:p>
        </w:tc>
        <w:tc>
          <w:tcPr>
            <w:tcW w:w="1640" w:type="dxa"/>
            <w:tcBorders>
              <w:top w:val="nil"/>
              <w:left w:val="nil"/>
              <w:bottom w:val="single" w:sz="12" w:space="0" w:color="1F497D" w:themeColor="text2"/>
              <w:right w:val="nil"/>
            </w:tcBorders>
            <w:shd w:val="clear" w:color="auto" w:fill="auto"/>
            <w:noWrap/>
            <w:vAlign w:val="center"/>
            <w:hideMark/>
          </w:tcPr>
          <w:p w:rsidR="003B0C80" w:rsidRPr="00F73C3A" w:rsidRDefault="003B0C80" w:rsidP="00522BCB">
            <w:pPr>
              <w:spacing w:after="0"/>
              <w:jc w:val="right"/>
              <w:rPr>
                <w:rFonts w:ascii="Calibri" w:hAnsi="Calibri" w:cs="Arial"/>
                <w:color w:val="262626" w:themeColor="text1" w:themeTint="D9"/>
                <w:lang w:eastAsia="en-GB"/>
              </w:rPr>
            </w:pPr>
            <w:r w:rsidRPr="00F73C3A">
              <w:rPr>
                <w:rFonts w:ascii="Calibri" w:hAnsi="Calibri" w:cs="Arial"/>
                <w:color w:val="262626" w:themeColor="text1" w:themeTint="D9"/>
                <w:lang w:eastAsia="en-GB"/>
              </w:rPr>
              <w:t>20%</w:t>
            </w:r>
          </w:p>
        </w:tc>
        <w:tc>
          <w:tcPr>
            <w:tcW w:w="1660" w:type="dxa"/>
            <w:tcBorders>
              <w:top w:val="nil"/>
              <w:left w:val="nil"/>
              <w:bottom w:val="single" w:sz="12" w:space="0" w:color="1F497D" w:themeColor="text2"/>
              <w:right w:val="nil"/>
            </w:tcBorders>
            <w:shd w:val="clear" w:color="auto" w:fill="auto"/>
            <w:noWrap/>
            <w:vAlign w:val="center"/>
            <w:hideMark/>
          </w:tcPr>
          <w:p w:rsidR="003B0C80" w:rsidRPr="00F73C3A" w:rsidRDefault="003B0C80" w:rsidP="00522BCB">
            <w:pPr>
              <w:spacing w:after="0"/>
              <w:jc w:val="right"/>
              <w:rPr>
                <w:rFonts w:ascii="Calibri" w:hAnsi="Calibri" w:cs="Arial"/>
                <w:color w:val="262626" w:themeColor="text1" w:themeTint="D9"/>
                <w:lang w:eastAsia="en-GB"/>
              </w:rPr>
            </w:pPr>
            <w:r w:rsidRPr="00F73C3A">
              <w:rPr>
                <w:rFonts w:ascii="Calibri" w:hAnsi="Calibri" w:cs="Arial"/>
                <w:color w:val="262626" w:themeColor="text1" w:themeTint="D9"/>
                <w:lang w:eastAsia="en-GB"/>
              </w:rPr>
              <w:t>30%</w:t>
            </w:r>
          </w:p>
        </w:tc>
      </w:tr>
    </w:tbl>
    <w:p w:rsidR="00321798" w:rsidRPr="00F73C3A" w:rsidRDefault="00321798">
      <w:pPr>
        <w:autoSpaceDE w:val="0"/>
        <w:autoSpaceDN w:val="0"/>
        <w:adjustRightInd w:val="0"/>
        <w:rPr>
          <w:rFonts w:ascii="Calibri" w:hAnsi="Calibri" w:cs="Arial"/>
          <w:color w:val="262626" w:themeColor="text1" w:themeTint="D9"/>
          <w:szCs w:val="20"/>
          <w:lang w:val="en-US"/>
        </w:rPr>
      </w:pPr>
    </w:p>
    <w:p w:rsidR="004B5BDB" w:rsidRPr="00F73C3A" w:rsidRDefault="004B5BDB" w:rsidP="003E6D0C">
      <w:pPr>
        <w:pStyle w:val="Heading3"/>
        <w:rPr>
          <w:rFonts w:ascii="Calibri" w:hAnsi="Calibri"/>
          <w:color w:val="262626" w:themeColor="text1" w:themeTint="D9"/>
          <w:lang w:val="en-US"/>
        </w:rPr>
      </w:pPr>
      <w:bookmarkStart w:id="75" w:name="_Toc349307616"/>
      <w:bookmarkStart w:id="76" w:name="_Toc349307765"/>
      <w:bookmarkStart w:id="77" w:name="_Toc349308198"/>
      <w:bookmarkStart w:id="78" w:name="_Toc349308275"/>
      <w:bookmarkStart w:id="79" w:name="_Toc349308383"/>
      <w:bookmarkStart w:id="80" w:name="_Toc349308476"/>
      <w:r w:rsidRPr="00F73C3A">
        <w:rPr>
          <w:rFonts w:ascii="Calibri" w:hAnsi="Calibri"/>
          <w:color w:val="262626" w:themeColor="text1" w:themeTint="D9"/>
          <w:lang w:val="en-US"/>
        </w:rPr>
        <w:t>R&amp;D&amp;I Aid</w:t>
      </w:r>
      <w:bookmarkEnd w:id="75"/>
      <w:bookmarkEnd w:id="76"/>
      <w:bookmarkEnd w:id="77"/>
      <w:bookmarkEnd w:id="78"/>
      <w:bookmarkEnd w:id="79"/>
      <w:bookmarkEnd w:id="80"/>
    </w:p>
    <w:p w:rsidR="00D7788C" w:rsidRPr="00F73C3A" w:rsidRDefault="002847A9" w:rsidP="002847A9">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Eligible R&amp;D projects must qualify as</w:t>
      </w:r>
      <w:r w:rsidR="004B5BDB" w:rsidRPr="00F73C3A">
        <w:rPr>
          <w:rFonts w:ascii="Calibri" w:hAnsi="Calibri" w:cs="Arial"/>
          <w:color w:val="262626" w:themeColor="text1" w:themeTint="D9"/>
          <w:szCs w:val="20"/>
          <w:lang w:val="en-US"/>
        </w:rPr>
        <w:t xml:space="preserve"> </w:t>
      </w:r>
      <w:r w:rsidR="00FD7477" w:rsidRPr="00F73C3A">
        <w:rPr>
          <w:rFonts w:ascii="Calibri" w:hAnsi="Calibri" w:cs="Arial"/>
          <w:color w:val="262626" w:themeColor="text1" w:themeTint="D9"/>
          <w:szCs w:val="20"/>
          <w:lang w:val="en-US"/>
        </w:rPr>
        <w:t>“industrial research” or “experimental development”. The definition of each is included at Annex A of these guidelines.</w:t>
      </w:r>
      <w:r w:rsidR="00D7788C" w:rsidRPr="00F73C3A">
        <w:rPr>
          <w:rFonts w:ascii="Calibri" w:hAnsi="Calibri" w:cs="Arial"/>
          <w:color w:val="262626" w:themeColor="text1" w:themeTint="D9"/>
          <w:szCs w:val="20"/>
          <w:lang w:val="en-US"/>
        </w:rPr>
        <w:t xml:space="preserve"> It is not the intention of </w:t>
      </w:r>
      <w:r w:rsidR="00612905" w:rsidRPr="00F73C3A">
        <w:rPr>
          <w:rFonts w:ascii="Calibri" w:hAnsi="Calibri" w:cs="Arial"/>
          <w:color w:val="262626" w:themeColor="text1" w:themeTint="D9"/>
          <w:szCs w:val="20"/>
          <w:lang w:val="en-US"/>
        </w:rPr>
        <w:t>Cumbria Growth Fund</w:t>
      </w:r>
      <w:r w:rsidR="00D7788C" w:rsidRPr="00F73C3A">
        <w:rPr>
          <w:rFonts w:ascii="Calibri" w:hAnsi="Calibri" w:cs="Arial"/>
          <w:color w:val="262626" w:themeColor="text1" w:themeTint="D9"/>
          <w:szCs w:val="20"/>
          <w:lang w:val="en-US"/>
        </w:rPr>
        <w:t xml:space="preserve"> to support fundamental research projects.</w:t>
      </w:r>
      <w:r w:rsidR="00A10EBD" w:rsidRPr="00F73C3A">
        <w:rPr>
          <w:rFonts w:ascii="Calibri" w:hAnsi="Calibri" w:cs="Arial"/>
          <w:color w:val="262626" w:themeColor="text1" w:themeTint="D9"/>
          <w:szCs w:val="20"/>
          <w:lang w:val="en-US"/>
        </w:rPr>
        <w:t xml:space="preserve"> </w:t>
      </w:r>
      <w:r w:rsidR="00D7788C" w:rsidRPr="00F73C3A">
        <w:rPr>
          <w:rFonts w:ascii="Calibri" w:hAnsi="Calibri" w:cs="Arial"/>
          <w:color w:val="262626" w:themeColor="text1" w:themeTint="D9"/>
          <w:szCs w:val="20"/>
          <w:lang w:val="en-US"/>
        </w:rPr>
        <w:t>The maximum aid intensity in respect of R&amp;D projects</w:t>
      </w:r>
      <w:r w:rsidRPr="00F73C3A">
        <w:rPr>
          <w:rFonts w:ascii="Calibri" w:hAnsi="Calibri" w:cs="Arial"/>
          <w:color w:val="262626" w:themeColor="text1" w:themeTint="D9"/>
          <w:szCs w:val="20"/>
          <w:lang w:val="en-US"/>
        </w:rPr>
        <w:t xml:space="preserve"> under </w:t>
      </w:r>
      <w:r w:rsidR="00612905" w:rsidRPr="00F73C3A">
        <w:rPr>
          <w:rFonts w:ascii="Calibri" w:hAnsi="Calibri" w:cs="Arial"/>
          <w:color w:val="262626" w:themeColor="text1" w:themeTint="D9"/>
          <w:szCs w:val="20"/>
          <w:lang w:val="en-US"/>
        </w:rPr>
        <w:t>Cumbria Growth Fund</w:t>
      </w:r>
      <w:r w:rsidR="00D7788C" w:rsidRPr="00F73C3A">
        <w:rPr>
          <w:rFonts w:ascii="Calibri" w:hAnsi="Calibri" w:cs="Arial"/>
          <w:color w:val="262626" w:themeColor="text1" w:themeTint="D9"/>
          <w:szCs w:val="20"/>
          <w:lang w:val="en-US"/>
        </w:rPr>
        <w:t xml:space="preserve"> i</w:t>
      </w:r>
      <w:r w:rsidR="004F4EE7" w:rsidRPr="00F73C3A">
        <w:rPr>
          <w:rFonts w:ascii="Calibri" w:hAnsi="Calibri" w:cs="Arial"/>
          <w:color w:val="262626" w:themeColor="text1" w:themeTint="D9"/>
          <w:szCs w:val="20"/>
          <w:lang w:val="en-US"/>
        </w:rPr>
        <w:t xml:space="preserve">s 25% for development research and 50% for industrial research. </w:t>
      </w:r>
    </w:p>
    <w:p w:rsidR="00D7788C" w:rsidRPr="00F73C3A" w:rsidRDefault="00D7788C" w:rsidP="003E6D0C">
      <w:pPr>
        <w:pStyle w:val="Heading3"/>
        <w:rPr>
          <w:rFonts w:ascii="Calibri" w:hAnsi="Calibri"/>
          <w:color w:val="262626" w:themeColor="text1" w:themeTint="D9"/>
          <w:lang w:val="en-US"/>
        </w:rPr>
      </w:pPr>
      <w:bookmarkStart w:id="81" w:name="_Toc349307617"/>
      <w:bookmarkStart w:id="82" w:name="_Toc349307766"/>
      <w:bookmarkStart w:id="83" w:name="_Toc349308199"/>
      <w:bookmarkStart w:id="84" w:name="_Toc349308276"/>
      <w:bookmarkStart w:id="85" w:name="_Toc349308384"/>
      <w:bookmarkStart w:id="86" w:name="_Toc349308477"/>
      <w:r w:rsidRPr="00F73C3A">
        <w:rPr>
          <w:rFonts w:ascii="Calibri" w:hAnsi="Calibri"/>
          <w:color w:val="262626" w:themeColor="text1" w:themeTint="D9"/>
          <w:lang w:val="en-US"/>
        </w:rPr>
        <w:t>Training aid</w:t>
      </w:r>
      <w:bookmarkEnd w:id="81"/>
      <w:bookmarkEnd w:id="82"/>
      <w:bookmarkEnd w:id="83"/>
      <w:bookmarkEnd w:id="84"/>
      <w:bookmarkEnd w:id="85"/>
      <w:bookmarkEnd w:id="86"/>
      <w:r w:rsidR="0026375B" w:rsidRPr="00F73C3A">
        <w:rPr>
          <w:rFonts w:ascii="Calibri" w:hAnsi="Calibri"/>
          <w:color w:val="262626" w:themeColor="text1" w:themeTint="D9"/>
          <w:lang w:val="en-US"/>
        </w:rPr>
        <w:t xml:space="preserve"> </w:t>
      </w:r>
    </w:p>
    <w:p w:rsidR="00D7788C" w:rsidRPr="00F73C3A" w:rsidRDefault="002847A9" w:rsidP="001C01C2">
      <w:pPr>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 xml:space="preserve">The maximum aid available under </w:t>
      </w:r>
      <w:r w:rsidR="00612905" w:rsidRPr="00F73C3A">
        <w:rPr>
          <w:rFonts w:ascii="Calibri" w:hAnsi="Calibri" w:cs="Arial"/>
          <w:color w:val="262626" w:themeColor="text1" w:themeTint="D9"/>
          <w:szCs w:val="20"/>
          <w:lang w:val="en-US"/>
        </w:rPr>
        <w:t>Cumbria Growth Fund</w:t>
      </w:r>
      <w:r w:rsidRPr="00F73C3A">
        <w:rPr>
          <w:rFonts w:ascii="Calibri" w:hAnsi="Calibri" w:cs="Arial"/>
          <w:color w:val="262626" w:themeColor="text1" w:themeTint="D9"/>
          <w:szCs w:val="20"/>
          <w:lang w:val="en-US"/>
        </w:rPr>
        <w:t xml:space="preserve"> for training costs i</w:t>
      </w:r>
      <w:r w:rsidR="004F4EE7" w:rsidRPr="00F73C3A">
        <w:rPr>
          <w:rFonts w:ascii="Calibri" w:hAnsi="Calibri" w:cs="Arial"/>
          <w:color w:val="262626" w:themeColor="text1" w:themeTint="D9"/>
          <w:szCs w:val="20"/>
          <w:lang w:val="en-US"/>
        </w:rPr>
        <w:t xml:space="preserve">s 50%. </w:t>
      </w:r>
    </w:p>
    <w:p w:rsidR="004F4EE7" w:rsidRPr="00F73C3A" w:rsidRDefault="004F4EE7" w:rsidP="001C01C2">
      <w:pPr>
        <w:rPr>
          <w:rFonts w:ascii="Calibri" w:hAnsi="Calibri" w:cs="Arial"/>
          <w:b/>
          <w:color w:val="262626" w:themeColor="text1" w:themeTint="D9"/>
          <w:szCs w:val="20"/>
          <w:lang w:val="en-US"/>
        </w:rPr>
      </w:pPr>
      <w:r w:rsidRPr="00F73C3A">
        <w:rPr>
          <w:rFonts w:ascii="Calibri" w:hAnsi="Calibri" w:cs="Arial"/>
          <w:b/>
          <w:color w:val="262626" w:themeColor="text1" w:themeTint="D9"/>
          <w:szCs w:val="20"/>
          <w:lang w:val="en-US"/>
        </w:rPr>
        <w:t>De Minimis</w:t>
      </w:r>
    </w:p>
    <w:p w:rsidR="00175ACB" w:rsidRDefault="00175ACB" w:rsidP="001C01C2">
      <w:pPr>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Where grants are awarded under the de minimis regulations, the aid intensity cannot exceed the</w:t>
      </w:r>
      <w:r w:rsidR="004F4EE7" w:rsidRPr="00F73C3A">
        <w:rPr>
          <w:rFonts w:ascii="Calibri" w:hAnsi="Calibri" w:cs="Arial"/>
          <w:color w:val="262626" w:themeColor="text1" w:themeTint="D9"/>
          <w:szCs w:val="20"/>
          <w:lang w:val="en-US"/>
        </w:rPr>
        <w:t xml:space="preserve"> Assisted Area</w:t>
      </w:r>
      <w:r w:rsidRPr="00F73C3A">
        <w:rPr>
          <w:rFonts w:ascii="Calibri" w:hAnsi="Calibri" w:cs="Arial"/>
          <w:color w:val="262626" w:themeColor="text1" w:themeTint="D9"/>
          <w:szCs w:val="20"/>
          <w:lang w:val="en-US"/>
        </w:rPr>
        <w:t xml:space="preserve"> limits set out above for each category of spend</w:t>
      </w:r>
      <w:r w:rsidR="004F4EE7" w:rsidRPr="00F73C3A">
        <w:rPr>
          <w:rFonts w:ascii="Calibri" w:hAnsi="Calibri" w:cs="Arial"/>
          <w:color w:val="262626" w:themeColor="text1" w:themeTint="D9"/>
          <w:szCs w:val="20"/>
          <w:lang w:val="en-US"/>
        </w:rPr>
        <w:t xml:space="preserve">. </w:t>
      </w:r>
    </w:p>
    <w:p w:rsidR="00C42964" w:rsidRPr="008E3841" w:rsidRDefault="00C42964" w:rsidP="00C42964">
      <w:pPr>
        <w:rPr>
          <w:rFonts w:ascii="Calibri" w:hAnsi="Calibri" w:cs="Arial"/>
          <w:color w:val="262626" w:themeColor="text1" w:themeTint="D9"/>
          <w:szCs w:val="20"/>
          <w:lang w:val="en-US"/>
        </w:rPr>
      </w:pPr>
      <w:r w:rsidRPr="008E3841">
        <w:rPr>
          <w:rFonts w:ascii="Calibri" w:hAnsi="Calibri" w:cs="Arial"/>
          <w:color w:val="262626" w:themeColor="text1" w:themeTint="D9"/>
          <w:szCs w:val="20"/>
          <w:lang w:val="en-US"/>
        </w:rPr>
        <w:t>De minimis aid:</w:t>
      </w:r>
    </w:p>
    <w:p w:rsidR="00C42964" w:rsidRPr="008E3841" w:rsidRDefault="00C42964" w:rsidP="00C42964">
      <w:pPr>
        <w:pStyle w:val="ListParagraph"/>
        <w:numPr>
          <w:ilvl w:val="0"/>
          <w:numId w:val="68"/>
        </w:numPr>
        <w:spacing w:after="0" w:line="276" w:lineRule="auto"/>
        <w:contextualSpacing w:val="0"/>
        <w:jc w:val="left"/>
        <w:rPr>
          <w:rFonts w:ascii="Calibri" w:hAnsi="Calibri"/>
          <w:bCs/>
          <w:iCs/>
          <w:color w:val="262626" w:themeColor="text1" w:themeTint="D9"/>
        </w:rPr>
      </w:pPr>
      <w:r w:rsidRPr="008E3841">
        <w:rPr>
          <w:rFonts w:ascii="Calibri" w:hAnsi="Calibri"/>
          <w:bCs/>
          <w:iCs/>
          <w:color w:val="262626" w:themeColor="text1" w:themeTint="D9"/>
        </w:rPr>
        <w:lastRenderedPageBreak/>
        <w:t>will only be provided for costs that would be eligible under a provision within GBER (to ensure that it is only used for investment in productive capacity rather than on operating expenses</w:t>
      </w:r>
    </w:p>
    <w:p w:rsidR="00C42964" w:rsidRPr="008E3841" w:rsidRDefault="00C42964" w:rsidP="00C42964">
      <w:pPr>
        <w:pStyle w:val="ListParagraph"/>
        <w:numPr>
          <w:ilvl w:val="0"/>
          <w:numId w:val="68"/>
        </w:numPr>
        <w:spacing w:after="0" w:line="276" w:lineRule="auto"/>
        <w:contextualSpacing w:val="0"/>
        <w:jc w:val="left"/>
        <w:rPr>
          <w:rFonts w:ascii="Calibri" w:hAnsi="Calibri"/>
          <w:bCs/>
          <w:iCs/>
          <w:color w:val="262626" w:themeColor="text1" w:themeTint="D9"/>
        </w:rPr>
      </w:pPr>
      <w:r w:rsidRPr="008E3841">
        <w:rPr>
          <w:rFonts w:ascii="Calibri" w:hAnsi="Calibri"/>
          <w:bCs/>
          <w:iCs/>
          <w:color w:val="262626" w:themeColor="text1" w:themeTint="D9"/>
        </w:rPr>
        <w:t>for capital investment projects will  be restricted to a maximum of 10% above the intervention rates thresholds which would apply to the beneficiary under the GBER vehicles of Regional Aid or Investment Aid to SMEs (covers small, medium and large companies and allows flexibility to apply the same level of support to large companies regardless of their geographical location)</w:t>
      </w:r>
    </w:p>
    <w:p w:rsidR="00C42964" w:rsidRPr="008E3841" w:rsidRDefault="00C42964" w:rsidP="00C42964">
      <w:pPr>
        <w:pStyle w:val="ListParagraph"/>
        <w:numPr>
          <w:ilvl w:val="0"/>
          <w:numId w:val="68"/>
        </w:numPr>
        <w:spacing w:after="0" w:line="276" w:lineRule="auto"/>
        <w:contextualSpacing w:val="0"/>
        <w:jc w:val="left"/>
        <w:rPr>
          <w:rFonts w:ascii="Calibri" w:hAnsi="Calibri"/>
          <w:bCs/>
          <w:iCs/>
          <w:color w:val="262626" w:themeColor="text1" w:themeTint="D9"/>
        </w:rPr>
      </w:pPr>
      <w:r w:rsidRPr="008E3841">
        <w:rPr>
          <w:rFonts w:ascii="Calibri" w:hAnsi="Calibri"/>
          <w:bCs/>
          <w:iCs/>
          <w:color w:val="262626" w:themeColor="text1" w:themeTint="D9"/>
        </w:rPr>
        <w:t>is used only where there is no suitable GBER state aid vehicle for the project</w:t>
      </w:r>
    </w:p>
    <w:p w:rsidR="00C42964" w:rsidRPr="008E3841" w:rsidRDefault="00C42964" w:rsidP="00C42964">
      <w:pPr>
        <w:pStyle w:val="ListParagraph"/>
        <w:numPr>
          <w:ilvl w:val="0"/>
          <w:numId w:val="68"/>
        </w:numPr>
        <w:spacing w:after="0" w:line="276" w:lineRule="auto"/>
        <w:contextualSpacing w:val="0"/>
        <w:jc w:val="left"/>
        <w:rPr>
          <w:rFonts w:ascii="Calibri" w:hAnsi="Calibri"/>
          <w:bCs/>
          <w:iCs/>
          <w:color w:val="262626" w:themeColor="text1" w:themeTint="D9"/>
        </w:rPr>
      </w:pPr>
      <w:r w:rsidRPr="008E3841">
        <w:rPr>
          <w:rFonts w:ascii="Calibri" w:hAnsi="Calibri"/>
          <w:bCs/>
          <w:iCs/>
          <w:color w:val="262626" w:themeColor="text1" w:themeTint="D9"/>
        </w:rPr>
        <w:t>will not be given as a top up to any other type of aid (de minimis cannot be mixed with GBER support for the same company)</w:t>
      </w:r>
    </w:p>
    <w:p w:rsidR="00C42964" w:rsidRPr="00F73C3A" w:rsidRDefault="00C42964" w:rsidP="001C01C2">
      <w:pPr>
        <w:rPr>
          <w:rFonts w:ascii="Calibri" w:hAnsi="Calibri" w:cs="Arial"/>
          <w:color w:val="262626" w:themeColor="text1" w:themeTint="D9"/>
          <w:szCs w:val="20"/>
          <w:lang w:val="en-US"/>
        </w:rPr>
      </w:pPr>
    </w:p>
    <w:p w:rsidR="000011CF" w:rsidRPr="00F73C3A" w:rsidRDefault="000011CF" w:rsidP="0002758E">
      <w:pPr>
        <w:pStyle w:val="Heading2"/>
        <w:rPr>
          <w:rFonts w:ascii="Calibri" w:hAnsi="Calibri"/>
          <w:color w:val="262626" w:themeColor="text1" w:themeTint="D9"/>
        </w:rPr>
      </w:pPr>
      <w:bookmarkStart w:id="87" w:name="_Toc349308478"/>
      <w:r w:rsidRPr="00F73C3A">
        <w:rPr>
          <w:rFonts w:ascii="Calibri" w:hAnsi="Calibri"/>
          <w:color w:val="262626" w:themeColor="text1" w:themeTint="D9"/>
        </w:rPr>
        <w:t>No prior start</w:t>
      </w:r>
      <w:bookmarkEnd w:id="87"/>
    </w:p>
    <w:p w:rsidR="000011CF" w:rsidRPr="00F73C3A" w:rsidRDefault="000011CF">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 xml:space="preserve">If work on a project has started then it is ineligible for </w:t>
      </w:r>
      <w:r w:rsidR="00612905" w:rsidRPr="00F73C3A">
        <w:rPr>
          <w:rFonts w:ascii="Calibri" w:hAnsi="Calibri" w:cs="Arial"/>
          <w:color w:val="262626" w:themeColor="text1" w:themeTint="D9"/>
          <w:szCs w:val="20"/>
          <w:lang w:val="en-US"/>
        </w:rPr>
        <w:t>Cumbria Growth Fund</w:t>
      </w:r>
      <w:r w:rsidRPr="00F73C3A">
        <w:rPr>
          <w:rFonts w:ascii="Calibri" w:hAnsi="Calibri" w:cs="Arial"/>
          <w:color w:val="262626" w:themeColor="text1" w:themeTint="D9"/>
          <w:szCs w:val="20"/>
          <w:lang w:val="en-US"/>
        </w:rPr>
        <w:t xml:space="preserve"> support. An</w:t>
      </w:r>
      <w:r w:rsidR="00384B31"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application for ass</w:t>
      </w:r>
      <w:r w:rsidR="00AC10D3" w:rsidRPr="00F73C3A">
        <w:rPr>
          <w:rFonts w:ascii="Calibri" w:hAnsi="Calibri" w:cs="Arial"/>
          <w:color w:val="262626" w:themeColor="text1" w:themeTint="D9"/>
          <w:szCs w:val="20"/>
          <w:lang w:val="en-US"/>
        </w:rPr>
        <w:t>istance must be submitted and a firm</w:t>
      </w:r>
      <w:r w:rsidRPr="00F73C3A">
        <w:rPr>
          <w:rFonts w:ascii="Calibri" w:hAnsi="Calibri" w:cs="Arial"/>
          <w:color w:val="262626" w:themeColor="text1" w:themeTint="D9"/>
          <w:szCs w:val="20"/>
          <w:lang w:val="en-US"/>
        </w:rPr>
        <w:t xml:space="preserve"> offer made before</w:t>
      </w:r>
      <w:r w:rsidR="004B5BDB"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work on the project is started. “Start of work” is defined in Annex A.</w:t>
      </w:r>
    </w:p>
    <w:p w:rsidR="000011CF" w:rsidRPr="00F73C3A" w:rsidRDefault="000011CF">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If, during the course of an appraisal, it becomes clear that an applicant</w:t>
      </w:r>
      <w:r w:rsidR="004B5BDB"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has incurred, or wishes to incur, expenditure on a project before the</w:t>
      </w:r>
      <w:r w:rsidR="004B5BDB" w:rsidRPr="00F73C3A">
        <w:rPr>
          <w:rFonts w:ascii="Calibri" w:hAnsi="Calibri" w:cs="Arial"/>
          <w:color w:val="262626" w:themeColor="text1" w:themeTint="D9"/>
          <w:szCs w:val="20"/>
          <w:lang w:val="en-US"/>
        </w:rPr>
        <w:t xml:space="preserve"> </w:t>
      </w:r>
      <w:r w:rsidR="002734D7" w:rsidRPr="00F73C3A">
        <w:rPr>
          <w:rFonts w:ascii="Calibri" w:hAnsi="Calibri" w:cs="Arial"/>
          <w:color w:val="262626" w:themeColor="text1" w:themeTint="D9"/>
          <w:szCs w:val="20"/>
          <w:lang w:val="en-US"/>
        </w:rPr>
        <w:t>Investment Panel</w:t>
      </w:r>
      <w:r w:rsidRPr="00F73C3A">
        <w:rPr>
          <w:rFonts w:ascii="Calibri" w:hAnsi="Calibri" w:cs="Arial"/>
          <w:color w:val="262626" w:themeColor="text1" w:themeTint="D9"/>
          <w:szCs w:val="20"/>
          <w:lang w:val="en-US"/>
        </w:rPr>
        <w:t xml:space="preserve"> has decided whether assistance is justified</w:t>
      </w:r>
      <w:r w:rsidR="002734D7" w:rsidRPr="00F73C3A">
        <w:rPr>
          <w:rFonts w:ascii="Calibri" w:hAnsi="Calibri" w:cs="Arial"/>
          <w:color w:val="262626" w:themeColor="text1" w:themeTint="D9"/>
          <w:szCs w:val="20"/>
          <w:lang w:val="en-US"/>
        </w:rPr>
        <w:t>,</w:t>
      </w:r>
      <w:r w:rsidRPr="00F73C3A">
        <w:rPr>
          <w:rFonts w:ascii="Calibri" w:hAnsi="Calibri" w:cs="Arial"/>
          <w:color w:val="262626" w:themeColor="text1" w:themeTint="D9"/>
          <w:szCs w:val="20"/>
          <w:lang w:val="en-US"/>
        </w:rPr>
        <w:t xml:space="preserve"> this</w:t>
      </w:r>
      <w:r w:rsidR="004B5BDB"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would normally nullify the additionality case. However, there are exceptions to the “no prior expenditure’’ rule, for example research and feasibility work undertaken or planned to help identify the options or secure the possibility of an option.</w:t>
      </w:r>
    </w:p>
    <w:p w:rsidR="000011CF" w:rsidRPr="00F73C3A" w:rsidRDefault="000011CF">
      <w:pPr>
        <w:autoSpaceDE w:val="0"/>
        <w:autoSpaceDN w:val="0"/>
        <w:adjustRightInd w:val="0"/>
        <w:rPr>
          <w:rFonts w:ascii="Calibri" w:hAnsi="Calibri" w:cs="Arial"/>
          <w:color w:val="262626" w:themeColor="text1" w:themeTint="D9"/>
          <w:szCs w:val="20"/>
          <w:lang w:val="en-US"/>
        </w:rPr>
      </w:pPr>
      <w:r w:rsidRPr="00F73C3A">
        <w:rPr>
          <w:rFonts w:ascii="Calibri" w:hAnsi="Calibri" w:cs="Arial"/>
          <w:color w:val="262626" w:themeColor="text1" w:themeTint="D9"/>
          <w:szCs w:val="20"/>
          <w:lang w:val="en-US"/>
        </w:rPr>
        <w:t>A more serious difficulty may arise if the applicant incurs significant</w:t>
      </w:r>
      <w:r w:rsidR="004B5BDB"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expenditure on physical assets associate</w:t>
      </w:r>
      <w:r w:rsidR="004B5BDB" w:rsidRPr="00F73C3A">
        <w:rPr>
          <w:rFonts w:ascii="Calibri" w:hAnsi="Calibri" w:cs="Arial"/>
          <w:color w:val="262626" w:themeColor="text1" w:themeTint="D9"/>
          <w:szCs w:val="20"/>
          <w:lang w:val="en-US"/>
        </w:rPr>
        <w:t xml:space="preserve">d with the project, for example </w:t>
      </w:r>
      <w:r w:rsidRPr="00F73C3A">
        <w:rPr>
          <w:rFonts w:ascii="Calibri" w:hAnsi="Calibri" w:cs="Arial"/>
          <w:color w:val="262626" w:themeColor="text1" w:themeTint="D9"/>
          <w:szCs w:val="20"/>
          <w:lang w:val="en-US"/>
        </w:rPr>
        <w:t>on land and buildings or plant and machinery, before the appraisal has</w:t>
      </w:r>
      <w:r w:rsidR="004B5BDB"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been completed. Whilst each application must be treated on its merits, in</w:t>
      </w:r>
      <w:r w:rsidR="004B5BDB"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most cases such commitments or expenditures demonstrate the intention</w:t>
      </w:r>
      <w:r w:rsidR="004B5BDB"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to carry out the project irrespective of assistance and should result in the</w:t>
      </w:r>
      <w:r w:rsidR="004B5BDB" w:rsidRPr="00F73C3A">
        <w:rPr>
          <w:rFonts w:ascii="Calibri" w:hAnsi="Calibri" w:cs="Arial"/>
          <w:color w:val="262626" w:themeColor="text1" w:themeTint="D9"/>
          <w:szCs w:val="20"/>
          <w:lang w:val="en-US"/>
        </w:rPr>
        <w:t xml:space="preserve"> </w:t>
      </w:r>
      <w:r w:rsidRPr="00F73C3A">
        <w:rPr>
          <w:rFonts w:ascii="Calibri" w:hAnsi="Calibri" w:cs="Arial"/>
          <w:color w:val="262626" w:themeColor="text1" w:themeTint="D9"/>
          <w:szCs w:val="20"/>
          <w:lang w:val="en-US"/>
        </w:rPr>
        <w:t>application being rejected.</w:t>
      </w:r>
    </w:p>
    <w:p w:rsidR="001C7FBB" w:rsidRPr="00F73C3A" w:rsidRDefault="001C7FBB" w:rsidP="00854ED5">
      <w:pPr>
        <w:pStyle w:val="Heading1"/>
        <w:rPr>
          <w:rFonts w:ascii="Calibri" w:hAnsi="Calibri"/>
          <w:color w:val="262626" w:themeColor="text1" w:themeTint="D9"/>
        </w:rPr>
        <w:sectPr w:rsidR="001C7FBB" w:rsidRPr="00F73C3A" w:rsidSect="00081966">
          <w:headerReference w:type="default" r:id="rId18"/>
          <w:pgSz w:w="11906" w:h="16838" w:code="9"/>
          <w:pgMar w:top="1701" w:right="1134" w:bottom="1134" w:left="1134" w:header="709" w:footer="113" w:gutter="0"/>
          <w:cols w:space="708"/>
          <w:docGrid w:linePitch="360"/>
        </w:sectPr>
      </w:pPr>
    </w:p>
    <w:p w:rsidR="0019400B" w:rsidRPr="00F73C3A" w:rsidRDefault="0019400B" w:rsidP="00854ED5">
      <w:pPr>
        <w:pStyle w:val="Heading1"/>
        <w:rPr>
          <w:rFonts w:ascii="Calibri" w:hAnsi="Calibri"/>
          <w:color w:val="262626" w:themeColor="text1" w:themeTint="D9"/>
        </w:rPr>
      </w:pPr>
      <w:bookmarkStart w:id="88" w:name="_Toc349308521"/>
      <w:r w:rsidRPr="00F73C3A">
        <w:rPr>
          <w:rFonts w:ascii="Calibri" w:hAnsi="Calibri"/>
          <w:color w:val="262626" w:themeColor="text1" w:themeTint="D9"/>
        </w:rPr>
        <w:lastRenderedPageBreak/>
        <w:t>ANNEX A</w:t>
      </w:r>
      <w:r w:rsidR="00522BCB" w:rsidRPr="00F73C3A">
        <w:rPr>
          <w:rFonts w:ascii="Calibri" w:hAnsi="Calibri"/>
          <w:color w:val="262626" w:themeColor="text1" w:themeTint="D9"/>
        </w:rPr>
        <w:t>:</w:t>
      </w:r>
      <w:r w:rsidR="00FD7477" w:rsidRPr="00F73C3A">
        <w:rPr>
          <w:rFonts w:ascii="Calibri" w:hAnsi="Calibri"/>
          <w:color w:val="262626" w:themeColor="text1" w:themeTint="D9"/>
        </w:rPr>
        <w:t xml:space="preserve"> DEFINITIONS</w:t>
      </w:r>
      <w:bookmarkEnd w:id="88"/>
    </w:p>
    <w:p w:rsidR="00854ED5" w:rsidRPr="00F73C3A" w:rsidRDefault="00854ED5" w:rsidP="00BF1A92">
      <w:pPr>
        <w:autoSpaceDE w:val="0"/>
        <w:autoSpaceDN w:val="0"/>
        <w:adjustRightInd w:val="0"/>
        <w:rPr>
          <w:rFonts w:ascii="Calibri" w:hAnsi="Calibri" w:cs="Arial"/>
          <w:color w:val="262626" w:themeColor="text1" w:themeTint="D9"/>
          <w:lang w:eastAsia="en-GB"/>
        </w:rPr>
      </w:pPr>
    </w:p>
    <w:p w:rsidR="00BF1A92" w:rsidRPr="00F73C3A" w:rsidRDefault="00BF1A92" w:rsidP="00BF1A92">
      <w:pPr>
        <w:autoSpaceDE w:val="0"/>
        <w:autoSpaceDN w:val="0"/>
        <w:adjustRightInd w:val="0"/>
        <w:rPr>
          <w:rFonts w:ascii="Calibri" w:hAnsi="Calibri" w:cs="Arial"/>
          <w:color w:val="262626" w:themeColor="text1" w:themeTint="D9"/>
          <w:lang w:eastAsia="en-GB"/>
        </w:rPr>
      </w:pPr>
      <w:r w:rsidRPr="00F73C3A">
        <w:rPr>
          <w:rFonts w:ascii="Calibri" w:hAnsi="Calibri" w:cs="Arial"/>
          <w:color w:val="262626" w:themeColor="text1" w:themeTint="D9"/>
          <w:lang w:eastAsia="en-GB"/>
        </w:rPr>
        <w:t>For the purpose of these Guidelines the following definitions shall apply:</w:t>
      </w:r>
    </w:p>
    <w:p w:rsidR="000B786A" w:rsidRPr="00F73C3A" w:rsidRDefault="000B786A" w:rsidP="000B786A">
      <w:pPr>
        <w:spacing w:after="0"/>
        <w:rPr>
          <w:rFonts w:ascii="Calibri" w:hAnsi="Calibri" w:cs="Arial"/>
          <w:color w:val="262626" w:themeColor="text1" w:themeTint="D9"/>
        </w:rPr>
      </w:pPr>
      <w:r w:rsidRPr="00F73C3A">
        <w:rPr>
          <w:rFonts w:ascii="Calibri" w:hAnsi="Calibri" w:cs="Arial"/>
          <w:b/>
          <w:i/>
          <w:color w:val="262626" w:themeColor="text1" w:themeTint="D9"/>
        </w:rPr>
        <w:t>Industrial research</w:t>
      </w:r>
      <w:r w:rsidRPr="00F73C3A">
        <w:rPr>
          <w:rFonts w:ascii="Calibri" w:hAnsi="Calibri" w:cs="Arial"/>
          <w:color w:val="262626" w:themeColor="text1" w:themeTint="D9"/>
        </w:rPr>
        <w:t xml:space="preserve"> means the planned research or critical investigation aimed at the acquisition of new knowledge and skills for developing new products, processes or services or for bringing about a significant improvement in existing products, processes or services. It comprises the creation of components parts to complex systems, and may include the construction of prototypes in a laboratory environment or in an environment with simulated interfaces to existing systems as well as of pilot lines, when necessary for the industrial research and notably for generic technology validation.</w:t>
      </w:r>
    </w:p>
    <w:p w:rsidR="00151913" w:rsidRPr="00F73C3A" w:rsidRDefault="00151913">
      <w:pPr>
        <w:spacing w:after="0"/>
        <w:rPr>
          <w:rFonts w:ascii="Calibri" w:hAnsi="Calibri" w:cs="Arial"/>
          <w:color w:val="262626" w:themeColor="text1" w:themeTint="D9"/>
        </w:rPr>
      </w:pPr>
    </w:p>
    <w:p w:rsidR="000B786A" w:rsidRPr="00F73C3A" w:rsidRDefault="000B786A" w:rsidP="000B786A">
      <w:pPr>
        <w:spacing w:after="0"/>
        <w:rPr>
          <w:rFonts w:ascii="Calibri" w:hAnsi="Calibri" w:cs="Arial"/>
          <w:color w:val="262626" w:themeColor="text1" w:themeTint="D9"/>
        </w:rPr>
      </w:pPr>
      <w:r w:rsidRPr="00F73C3A">
        <w:rPr>
          <w:rFonts w:ascii="Calibri" w:hAnsi="Calibri" w:cs="Arial"/>
          <w:b/>
          <w:i/>
          <w:color w:val="262626" w:themeColor="text1" w:themeTint="D9"/>
        </w:rPr>
        <w:t>Experimental</w:t>
      </w:r>
      <w:r w:rsidRPr="00F73C3A">
        <w:rPr>
          <w:rFonts w:ascii="Calibri" w:hAnsi="Calibri" w:cs="Arial"/>
          <w:color w:val="262626" w:themeColor="text1" w:themeTint="D9"/>
        </w:rPr>
        <w:t xml:space="preserve"> </w:t>
      </w:r>
      <w:r w:rsidRPr="00F73C3A">
        <w:rPr>
          <w:rFonts w:ascii="Calibri" w:hAnsi="Calibri" w:cs="Arial"/>
          <w:b/>
          <w:i/>
          <w:color w:val="262626" w:themeColor="text1" w:themeTint="D9"/>
        </w:rPr>
        <w:t>development</w:t>
      </w:r>
      <w:r w:rsidRPr="00F73C3A">
        <w:rPr>
          <w:rFonts w:ascii="Calibri" w:hAnsi="Calibri" w:cs="Arial"/>
          <w:color w:val="262626" w:themeColor="text1" w:themeTint="D9"/>
        </w:rPr>
        <w:t xml:space="preserve"> means the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 Experimental development may comprise prototyping, demonstrating, piloting, testing and validation of new or improved products, processes or services in environments representative of real 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 Experimental development does not include routine or periodic changes made to existing products, production lines, manufacturing processes, services and other operations in progress, even if those cha</w:t>
      </w:r>
      <w:r w:rsidR="003F04F2" w:rsidRPr="00F73C3A">
        <w:rPr>
          <w:rFonts w:ascii="Calibri" w:hAnsi="Calibri" w:cs="Arial"/>
          <w:color w:val="262626" w:themeColor="text1" w:themeTint="D9"/>
        </w:rPr>
        <w:t>nges may represent improvements</w:t>
      </w:r>
      <w:r w:rsidRPr="00F73C3A">
        <w:rPr>
          <w:rFonts w:ascii="Calibri" w:hAnsi="Calibri" w:cs="Arial"/>
          <w:color w:val="262626" w:themeColor="text1" w:themeTint="D9"/>
        </w:rPr>
        <w:t>.</w:t>
      </w:r>
    </w:p>
    <w:p w:rsidR="009E1BF0" w:rsidRPr="00F73C3A" w:rsidRDefault="009E1BF0">
      <w:pPr>
        <w:spacing w:after="0"/>
        <w:rPr>
          <w:rFonts w:ascii="Calibri" w:hAnsi="Calibri" w:cs="Arial"/>
          <w:color w:val="262626" w:themeColor="text1" w:themeTint="D9"/>
        </w:rPr>
      </w:pPr>
    </w:p>
    <w:p w:rsidR="00FD7477" w:rsidRPr="00F73C3A" w:rsidRDefault="000B786A" w:rsidP="000B786A">
      <w:pPr>
        <w:spacing w:after="0"/>
        <w:rPr>
          <w:rFonts w:ascii="Calibri" w:hAnsi="Calibri" w:cs="Arial"/>
          <w:color w:val="262626" w:themeColor="text1" w:themeTint="D9"/>
        </w:rPr>
      </w:pPr>
      <w:r w:rsidRPr="00F73C3A">
        <w:rPr>
          <w:rFonts w:ascii="Calibri" w:hAnsi="Calibri" w:cs="Arial"/>
          <w:b/>
          <w:i/>
          <w:color w:val="262626" w:themeColor="text1" w:themeTint="D9"/>
        </w:rPr>
        <w:t>Arm's length</w:t>
      </w:r>
      <w:r w:rsidRPr="00F73C3A">
        <w:rPr>
          <w:rFonts w:ascii="Calibri" w:hAnsi="Calibri" w:cs="Arial"/>
          <w:color w:val="262626" w:themeColor="text1" w:themeTint="D9"/>
        </w:rPr>
        <w:t xml:space="preserve"> 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w:t>
      </w:r>
    </w:p>
    <w:p w:rsidR="000B786A" w:rsidRPr="00F73C3A" w:rsidRDefault="000B786A" w:rsidP="000B786A">
      <w:pPr>
        <w:spacing w:after="0"/>
        <w:rPr>
          <w:rFonts w:ascii="Calibri" w:hAnsi="Calibri" w:cs="Arial"/>
          <w:color w:val="262626" w:themeColor="text1" w:themeTint="D9"/>
        </w:rPr>
      </w:pPr>
    </w:p>
    <w:p w:rsidR="00824B58" w:rsidRPr="00F73C3A" w:rsidRDefault="00824B58" w:rsidP="00824B58">
      <w:pPr>
        <w:rPr>
          <w:rFonts w:ascii="Calibri" w:hAnsi="Calibri" w:cs="Arial"/>
          <w:color w:val="262626" w:themeColor="text1" w:themeTint="D9"/>
          <w:szCs w:val="18"/>
        </w:rPr>
      </w:pPr>
      <w:r w:rsidRPr="00F73C3A">
        <w:rPr>
          <w:rFonts w:ascii="Calibri" w:hAnsi="Calibri" w:cs="Arial"/>
          <w:b/>
          <w:i/>
          <w:color w:val="262626" w:themeColor="text1" w:themeTint="D9"/>
          <w:szCs w:val="18"/>
        </w:rPr>
        <w:t xml:space="preserve">SME </w:t>
      </w:r>
      <w:r w:rsidRPr="00F73C3A">
        <w:rPr>
          <w:rFonts w:ascii="Calibri" w:hAnsi="Calibri" w:cs="Arial"/>
          <w:color w:val="262626" w:themeColor="text1" w:themeTint="D9"/>
          <w:szCs w:val="18"/>
        </w:rPr>
        <w:t xml:space="preserve">The definition of a SME is set out at: </w:t>
      </w:r>
    </w:p>
    <w:p w:rsidR="00824B58" w:rsidRPr="004F4EE7" w:rsidRDefault="00F73C3A" w:rsidP="00824B58">
      <w:pPr>
        <w:rPr>
          <w:rFonts w:ascii="Calibri" w:hAnsi="Calibri" w:cs="Arial"/>
          <w:szCs w:val="18"/>
        </w:rPr>
      </w:pPr>
      <w:hyperlink r:id="rId19" w:history="1">
        <w:r w:rsidR="00824B58" w:rsidRPr="004F4EE7">
          <w:rPr>
            <w:rStyle w:val="Hyperlink"/>
            <w:rFonts w:ascii="Calibri" w:hAnsi="Calibri" w:cs="Arial"/>
          </w:rPr>
          <w:t>http://ec.europa.eu/enterprise/policies/sme/files/sme_definition/sme_user_guide_en.pdf</w:t>
        </w:r>
      </w:hyperlink>
    </w:p>
    <w:p w:rsidR="000D0198" w:rsidRPr="00F73C3A" w:rsidRDefault="000D0198" w:rsidP="000D0198">
      <w:pPr>
        <w:autoSpaceDE w:val="0"/>
        <w:autoSpaceDN w:val="0"/>
        <w:adjustRightInd w:val="0"/>
        <w:rPr>
          <w:rFonts w:ascii="Calibri" w:hAnsi="Calibri" w:cs="Arial"/>
          <w:color w:val="262626" w:themeColor="text1" w:themeTint="D9"/>
          <w:lang w:eastAsia="en-GB"/>
        </w:rPr>
      </w:pPr>
      <w:r w:rsidRPr="00F73C3A">
        <w:rPr>
          <w:rFonts w:ascii="Calibri" w:hAnsi="Calibri" w:cs="Arial"/>
          <w:b/>
          <w:i/>
          <w:color w:val="262626" w:themeColor="text1" w:themeTint="D9"/>
          <w:lang w:eastAsia="en-GB"/>
        </w:rPr>
        <w:t>Large enterprises</w:t>
      </w:r>
      <w:r w:rsidRPr="00F73C3A">
        <w:rPr>
          <w:rFonts w:ascii="Calibri" w:hAnsi="Calibri" w:cs="Arial"/>
          <w:color w:val="262626" w:themeColor="text1" w:themeTint="D9"/>
          <w:lang w:eastAsia="en-GB"/>
        </w:rPr>
        <w:t xml:space="preserve"> means undertakings not fu</w:t>
      </w:r>
      <w:r w:rsidR="003268E9" w:rsidRPr="00F73C3A">
        <w:rPr>
          <w:rFonts w:ascii="Calibri" w:hAnsi="Calibri" w:cs="Arial"/>
          <w:color w:val="262626" w:themeColor="text1" w:themeTint="D9"/>
          <w:lang w:eastAsia="en-GB"/>
        </w:rPr>
        <w:t xml:space="preserve">lfilling the criteria laid down </w:t>
      </w:r>
      <w:r w:rsidRPr="00F73C3A">
        <w:rPr>
          <w:rFonts w:ascii="Calibri" w:hAnsi="Calibri" w:cs="Arial"/>
          <w:color w:val="262626" w:themeColor="text1" w:themeTint="D9"/>
          <w:lang w:eastAsia="en-GB"/>
        </w:rPr>
        <w:t>in the SME definition.</w:t>
      </w:r>
    </w:p>
    <w:p w:rsidR="00AE4653" w:rsidRPr="00F73C3A" w:rsidRDefault="00BF1A92" w:rsidP="00AE4653">
      <w:pPr>
        <w:autoSpaceDE w:val="0"/>
        <w:autoSpaceDN w:val="0"/>
        <w:adjustRightInd w:val="0"/>
        <w:rPr>
          <w:rFonts w:ascii="Calibri" w:hAnsi="Calibri" w:cs="Arial"/>
          <w:color w:val="262626" w:themeColor="text1" w:themeTint="D9"/>
          <w:lang w:eastAsia="en-GB"/>
        </w:rPr>
      </w:pPr>
      <w:r w:rsidRPr="00F73C3A">
        <w:rPr>
          <w:rFonts w:ascii="Calibri" w:hAnsi="Calibri" w:cs="Arial"/>
          <w:b/>
          <w:i/>
          <w:color w:val="262626" w:themeColor="text1" w:themeTint="D9"/>
          <w:lang w:eastAsia="en-GB"/>
        </w:rPr>
        <w:t>Control</w:t>
      </w:r>
      <w:r w:rsidRPr="00F73C3A">
        <w:rPr>
          <w:rFonts w:ascii="Calibri" w:hAnsi="Calibri" w:cs="Arial"/>
          <w:color w:val="262626" w:themeColor="text1" w:themeTint="D9"/>
          <w:lang w:eastAsia="en-GB"/>
        </w:rPr>
        <w:t xml:space="preserve"> </w:t>
      </w:r>
      <w:r w:rsidR="00AE4653" w:rsidRPr="00F73C3A">
        <w:rPr>
          <w:rFonts w:ascii="Calibri" w:hAnsi="Calibri" w:cs="Arial"/>
          <w:color w:val="262626" w:themeColor="text1" w:themeTint="D9"/>
          <w:lang w:eastAsia="en-GB"/>
        </w:rPr>
        <w:t>has the meaning set out in Article 3 of Council Regulation (EC)</w:t>
      </w:r>
      <w:r w:rsidRPr="00F73C3A">
        <w:rPr>
          <w:rFonts w:ascii="Calibri" w:hAnsi="Calibri" w:cs="Arial"/>
          <w:color w:val="262626" w:themeColor="text1" w:themeTint="D9"/>
          <w:lang w:eastAsia="en-GB"/>
        </w:rPr>
        <w:t xml:space="preserve"> </w:t>
      </w:r>
      <w:r w:rsidR="00AE4653" w:rsidRPr="00F73C3A">
        <w:rPr>
          <w:rFonts w:ascii="Calibri" w:hAnsi="Calibri" w:cs="Arial"/>
          <w:color w:val="262626" w:themeColor="text1" w:themeTint="D9"/>
          <w:lang w:eastAsia="en-GB"/>
        </w:rPr>
        <w:t>No 139/2004. Specifically, control shall be constituted by rights, contracts</w:t>
      </w:r>
      <w:r w:rsidRPr="00F73C3A">
        <w:rPr>
          <w:rFonts w:ascii="Calibri" w:hAnsi="Calibri" w:cs="Arial"/>
          <w:color w:val="262626" w:themeColor="text1" w:themeTint="D9"/>
          <w:lang w:eastAsia="en-GB"/>
        </w:rPr>
        <w:t xml:space="preserve"> </w:t>
      </w:r>
      <w:r w:rsidR="00AE4653" w:rsidRPr="00F73C3A">
        <w:rPr>
          <w:rFonts w:ascii="Calibri" w:hAnsi="Calibri" w:cs="Arial"/>
          <w:color w:val="262626" w:themeColor="text1" w:themeTint="D9"/>
          <w:lang w:eastAsia="en-GB"/>
        </w:rPr>
        <w:t>or any other means which, either separately or in combination and having</w:t>
      </w:r>
      <w:r w:rsidRPr="00F73C3A">
        <w:rPr>
          <w:rFonts w:ascii="Calibri" w:hAnsi="Calibri" w:cs="Arial"/>
          <w:color w:val="262626" w:themeColor="text1" w:themeTint="D9"/>
          <w:lang w:eastAsia="en-GB"/>
        </w:rPr>
        <w:t xml:space="preserve"> </w:t>
      </w:r>
      <w:r w:rsidR="00AE4653" w:rsidRPr="00F73C3A">
        <w:rPr>
          <w:rFonts w:ascii="Calibri" w:hAnsi="Calibri" w:cs="Arial"/>
          <w:color w:val="262626" w:themeColor="text1" w:themeTint="D9"/>
          <w:lang w:eastAsia="en-GB"/>
        </w:rPr>
        <w:t>regard to considerations of fact or law involved, confer the possibility of</w:t>
      </w:r>
      <w:r w:rsidRPr="00F73C3A">
        <w:rPr>
          <w:rFonts w:ascii="Calibri" w:hAnsi="Calibri" w:cs="Arial"/>
          <w:color w:val="262626" w:themeColor="text1" w:themeTint="D9"/>
          <w:lang w:eastAsia="en-GB"/>
        </w:rPr>
        <w:t xml:space="preserve"> </w:t>
      </w:r>
      <w:r w:rsidR="00AE4653" w:rsidRPr="00F73C3A">
        <w:rPr>
          <w:rFonts w:ascii="Calibri" w:hAnsi="Calibri" w:cs="Arial"/>
          <w:color w:val="262626" w:themeColor="text1" w:themeTint="D9"/>
          <w:lang w:eastAsia="en-GB"/>
        </w:rPr>
        <w:t>exercising decisive influence on an undertaking, in particular by:</w:t>
      </w:r>
    </w:p>
    <w:p w:rsidR="00AE4653" w:rsidRPr="00F73C3A" w:rsidRDefault="00AE4653" w:rsidP="00F61707">
      <w:pPr>
        <w:pStyle w:val="ListParagraph"/>
        <w:numPr>
          <w:ilvl w:val="0"/>
          <w:numId w:val="14"/>
        </w:numPr>
        <w:rPr>
          <w:rFonts w:ascii="Calibri" w:hAnsi="Calibri"/>
          <w:color w:val="262626" w:themeColor="text1" w:themeTint="D9"/>
          <w:lang w:eastAsia="en-GB"/>
        </w:rPr>
      </w:pPr>
      <w:r w:rsidRPr="00F73C3A">
        <w:rPr>
          <w:rFonts w:ascii="Calibri" w:hAnsi="Calibri"/>
          <w:color w:val="262626" w:themeColor="text1" w:themeTint="D9"/>
          <w:lang w:eastAsia="en-GB"/>
        </w:rPr>
        <w:t xml:space="preserve">ownership or the right to use all or part </w:t>
      </w:r>
      <w:r w:rsidR="003F04F2" w:rsidRPr="00F73C3A">
        <w:rPr>
          <w:rFonts w:ascii="Calibri" w:hAnsi="Calibri"/>
          <w:color w:val="262626" w:themeColor="text1" w:themeTint="D9"/>
          <w:lang w:eastAsia="en-GB"/>
        </w:rPr>
        <w:t>of the assets of an undertaking</w:t>
      </w:r>
    </w:p>
    <w:p w:rsidR="00AE4653" w:rsidRPr="00F73C3A" w:rsidRDefault="00AE4653" w:rsidP="00F61707">
      <w:pPr>
        <w:pStyle w:val="ListParagraph"/>
        <w:numPr>
          <w:ilvl w:val="0"/>
          <w:numId w:val="14"/>
        </w:numPr>
        <w:rPr>
          <w:rFonts w:ascii="Calibri" w:hAnsi="Calibri"/>
          <w:color w:val="262626" w:themeColor="text1" w:themeTint="D9"/>
          <w:lang w:eastAsia="en-GB"/>
        </w:rPr>
      </w:pPr>
      <w:r w:rsidRPr="00F73C3A">
        <w:rPr>
          <w:rFonts w:ascii="Calibri" w:hAnsi="Calibri"/>
          <w:color w:val="262626" w:themeColor="text1" w:themeTint="D9"/>
          <w:lang w:eastAsia="en-GB"/>
        </w:rPr>
        <w:t>rights or contracts which confer decisive influence on the composition,</w:t>
      </w:r>
      <w:r w:rsidR="00BF1A92" w:rsidRPr="00F73C3A">
        <w:rPr>
          <w:rFonts w:ascii="Calibri" w:hAnsi="Calibri"/>
          <w:color w:val="262626" w:themeColor="text1" w:themeTint="D9"/>
          <w:lang w:eastAsia="en-GB"/>
        </w:rPr>
        <w:t xml:space="preserve"> </w:t>
      </w:r>
      <w:r w:rsidRPr="00F73C3A">
        <w:rPr>
          <w:rFonts w:ascii="Calibri" w:hAnsi="Calibri"/>
          <w:color w:val="262626" w:themeColor="text1" w:themeTint="D9"/>
          <w:lang w:eastAsia="en-GB"/>
        </w:rPr>
        <w:t xml:space="preserve">voting or decisions </w:t>
      </w:r>
      <w:r w:rsidR="003F04F2" w:rsidRPr="00F73C3A">
        <w:rPr>
          <w:rFonts w:ascii="Calibri" w:hAnsi="Calibri"/>
          <w:color w:val="262626" w:themeColor="text1" w:themeTint="D9"/>
          <w:lang w:eastAsia="en-GB"/>
        </w:rPr>
        <w:t>of the organs of an undertaking</w:t>
      </w:r>
    </w:p>
    <w:p w:rsidR="00AE4653" w:rsidRPr="00F73C3A" w:rsidRDefault="00AE4653" w:rsidP="003F04F2">
      <w:pPr>
        <w:rPr>
          <w:rFonts w:ascii="Calibri" w:hAnsi="Calibri"/>
          <w:color w:val="262626" w:themeColor="text1" w:themeTint="D9"/>
          <w:lang w:eastAsia="en-GB"/>
        </w:rPr>
      </w:pPr>
      <w:r w:rsidRPr="00F73C3A">
        <w:rPr>
          <w:rFonts w:ascii="Calibri" w:hAnsi="Calibri"/>
          <w:color w:val="262626" w:themeColor="text1" w:themeTint="D9"/>
          <w:lang w:eastAsia="en-GB"/>
        </w:rPr>
        <w:t>Control is acquired by persons or undertakings which:</w:t>
      </w:r>
    </w:p>
    <w:p w:rsidR="00AE4653" w:rsidRPr="00F73C3A" w:rsidRDefault="00AE4653" w:rsidP="00F61707">
      <w:pPr>
        <w:pStyle w:val="ListParagraph"/>
        <w:numPr>
          <w:ilvl w:val="0"/>
          <w:numId w:val="14"/>
        </w:numPr>
        <w:rPr>
          <w:rFonts w:ascii="Calibri" w:hAnsi="Calibri"/>
          <w:color w:val="262626" w:themeColor="text1" w:themeTint="D9"/>
          <w:lang w:eastAsia="en-GB"/>
        </w:rPr>
      </w:pPr>
      <w:r w:rsidRPr="00F73C3A">
        <w:rPr>
          <w:rFonts w:ascii="Calibri" w:hAnsi="Calibri"/>
          <w:color w:val="262626" w:themeColor="text1" w:themeTint="D9"/>
          <w:lang w:eastAsia="en-GB"/>
        </w:rPr>
        <w:t>are holders of the rights or entitled to rights under the contracts</w:t>
      </w:r>
      <w:r w:rsidR="00BF1A92" w:rsidRPr="00F73C3A">
        <w:rPr>
          <w:rFonts w:ascii="Calibri" w:hAnsi="Calibri"/>
          <w:color w:val="262626" w:themeColor="text1" w:themeTint="D9"/>
          <w:lang w:eastAsia="en-GB"/>
        </w:rPr>
        <w:t xml:space="preserve"> </w:t>
      </w:r>
      <w:r w:rsidR="003F04F2" w:rsidRPr="00F73C3A">
        <w:rPr>
          <w:rFonts w:ascii="Calibri" w:hAnsi="Calibri"/>
          <w:color w:val="262626" w:themeColor="text1" w:themeTint="D9"/>
          <w:lang w:eastAsia="en-GB"/>
        </w:rPr>
        <w:t>concerned</w:t>
      </w:r>
      <w:r w:rsidRPr="00F73C3A">
        <w:rPr>
          <w:rFonts w:ascii="Calibri" w:hAnsi="Calibri"/>
          <w:color w:val="262626" w:themeColor="text1" w:themeTint="D9"/>
          <w:lang w:eastAsia="en-GB"/>
        </w:rPr>
        <w:t xml:space="preserve"> or</w:t>
      </w:r>
    </w:p>
    <w:p w:rsidR="00AE4653" w:rsidRPr="00F73C3A" w:rsidRDefault="00AE4653" w:rsidP="00F61707">
      <w:pPr>
        <w:pStyle w:val="ListParagraph"/>
        <w:numPr>
          <w:ilvl w:val="0"/>
          <w:numId w:val="14"/>
        </w:numPr>
        <w:rPr>
          <w:rFonts w:ascii="Calibri" w:hAnsi="Calibri"/>
          <w:color w:val="262626" w:themeColor="text1" w:themeTint="D9"/>
          <w:lang w:eastAsia="en-GB"/>
        </w:rPr>
      </w:pPr>
      <w:r w:rsidRPr="00F73C3A">
        <w:rPr>
          <w:rFonts w:ascii="Calibri" w:hAnsi="Calibri"/>
          <w:color w:val="262626" w:themeColor="text1" w:themeTint="D9"/>
          <w:lang w:eastAsia="en-GB"/>
        </w:rPr>
        <w:t>while not being holders of such rights or entitled to rights under such</w:t>
      </w:r>
      <w:r w:rsidR="00BF1A92" w:rsidRPr="00F73C3A">
        <w:rPr>
          <w:rFonts w:ascii="Calibri" w:hAnsi="Calibri"/>
          <w:color w:val="262626" w:themeColor="text1" w:themeTint="D9"/>
          <w:lang w:eastAsia="en-GB"/>
        </w:rPr>
        <w:t xml:space="preserve"> </w:t>
      </w:r>
      <w:r w:rsidRPr="00F73C3A">
        <w:rPr>
          <w:rFonts w:ascii="Calibri" w:hAnsi="Calibri"/>
          <w:color w:val="262626" w:themeColor="text1" w:themeTint="D9"/>
          <w:lang w:eastAsia="en-GB"/>
        </w:rPr>
        <w:t>contracts, have the power to exercis</w:t>
      </w:r>
      <w:r w:rsidR="003F04F2" w:rsidRPr="00F73C3A">
        <w:rPr>
          <w:rFonts w:ascii="Calibri" w:hAnsi="Calibri"/>
          <w:color w:val="262626" w:themeColor="text1" w:themeTint="D9"/>
          <w:lang w:eastAsia="en-GB"/>
        </w:rPr>
        <w:t>e the rights deriving therefrom</w:t>
      </w:r>
    </w:p>
    <w:p w:rsidR="00AE4653" w:rsidRPr="00F73C3A" w:rsidRDefault="00BF1A92" w:rsidP="00AE4653">
      <w:pPr>
        <w:autoSpaceDE w:val="0"/>
        <w:autoSpaceDN w:val="0"/>
        <w:adjustRightInd w:val="0"/>
        <w:rPr>
          <w:rFonts w:ascii="Calibri" w:hAnsi="Calibri" w:cs="Arial"/>
          <w:color w:val="262626" w:themeColor="text1" w:themeTint="D9"/>
          <w:lang w:eastAsia="en-GB"/>
        </w:rPr>
      </w:pPr>
      <w:r w:rsidRPr="00F73C3A">
        <w:rPr>
          <w:rFonts w:ascii="Calibri" w:hAnsi="Calibri" w:cs="Arial"/>
          <w:b/>
          <w:i/>
          <w:color w:val="262626" w:themeColor="text1" w:themeTint="D9"/>
          <w:lang w:eastAsia="en-GB"/>
        </w:rPr>
        <w:t>Tangible assets</w:t>
      </w:r>
      <w:r w:rsidR="00AE4653" w:rsidRPr="00F73C3A">
        <w:rPr>
          <w:rFonts w:ascii="Calibri" w:hAnsi="Calibri" w:cs="Arial"/>
          <w:color w:val="262626" w:themeColor="text1" w:themeTint="D9"/>
          <w:lang w:eastAsia="en-GB"/>
        </w:rPr>
        <w:t xml:space="preserve"> means assets </w:t>
      </w:r>
      <w:r w:rsidR="008F4CCC" w:rsidRPr="00F73C3A">
        <w:rPr>
          <w:rFonts w:ascii="Calibri" w:hAnsi="Calibri" w:cs="Arial"/>
          <w:color w:val="262626" w:themeColor="text1" w:themeTint="D9"/>
          <w:lang w:eastAsia="en-GB"/>
        </w:rPr>
        <w:t>consisting of</w:t>
      </w:r>
      <w:r w:rsidR="00AE4653" w:rsidRPr="00F73C3A">
        <w:rPr>
          <w:rFonts w:ascii="Calibri" w:hAnsi="Calibri" w:cs="Arial"/>
          <w:color w:val="262626" w:themeColor="text1" w:themeTint="D9"/>
          <w:lang w:eastAsia="en-GB"/>
        </w:rPr>
        <w:t xml:space="preserve"> land, buildings and plant,</w:t>
      </w:r>
      <w:r w:rsidRPr="00F73C3A">
        <w:rPr>
          <w:rFonts w:ascii="Calibri" w:hAnsi="Calibri" w:cs="Arial"/>
          <w:color w:val="262626" w:themeColor="text1" w:themeTint="D9"/>
          <w:lang w:eastAsia="en-GB"/>
        </w:rPr>
        <w:t xml:space="preserve"> </w:t>
      </w:r>
      <w:r w:rsidR="003F04F2" w:rsidRPr="00F73C3A">
        <w:rPr>
          <w:rFonts w:ascii="Calibri" w:hAnsi="Calibri" w:cs="Arial"/>
          <w:color w:val="262626" w:themeColor="text1" w:themeTint="D9"/>
          <w:lang w:eastAsia="en-GB"/>
        </w:rPr>
        <w:t>machinery and equipment.</w:t>
      </w:r>
    </w:p>
    <w:p w:rsidR="00AE4653" w:rsidRPr="00F73C3A" w:rsidRDefault="00BF1A92" w:rsidP="00AE4653">
      <w:pPr>
        <w:autoSpaceDE w:val="0"/>
        <w:autoSpaceDN w:val="0"/>
        <w:adjustRightInd w:val="0"/>
        <w:rPr>
          <w:rFonts w:ascii="Calibri" w:hAnsi="Calibri" w:cs="Arial"/>
          <w:color w:val="262626" w:themeColor="text1" w:themeTint="D9"/>
          <w:lang w:eastAsia="en-GB"/>
        </w:rPr>
      </w:pPr>
      <w:r w:rsidRPr="00F73C3A">
        <w:rPr>
          <w:rFonts w:ascii="Calibri" w:hAnsi="Calibri" w:cs="Arial"/>
          <w:b/>
          <w:i/>
          <w:color w:val="262626" w:themeColor="text1" w:themeTint="D9"/>
          <w:lang w:eastAsia="en-GB"/>
        </w:rPr>
        <w:t>Intangible assets</w:t>
      </w:r>
      <w:r w:rsidR="00AE4653" w:rsidRPr="00F73C3A">
        <w:rPr>
          <w:rFonts w:ascii="Calibri" w:hAnsi="Calibri" w:cs="Arial"/>
          <w:color w:val="262626" w:themeColor="text1" w:themeTint="D9"/>
          <w:lang w:eastAsia="en-GB"/>
        </w:rPr>
        <w:t xml:space="preserve"> means assets </w:t>
      </w:r>
      <w:r w:rsidR="008F4CCC" w:rsidRPr="00F73C3A">
        <w:rPr>
          <w:rFonts w:ascii="Calibri" w:hAnsi="Calibri" w:cs="Arial"/>
          <w:color w:val="262626" w:themeColor="text1" w:themeTint="D9"/>
          <w:lang w:eastAsia="en-GB"/>
        </w:rPr>
        <w:t>that do not have a physical or financial embodiment such as patents, licences, know-how or other intellectual property</w:t>
      </w:r>
      <w:r w:rsidR="003F04F2" w:rsidRPr="00F73C3A">
        <w:rPr>
          <w:rFonts w:ascii="Calibri" w:hAnsi="Calibri" w:cs="Arial"/>
          <w:color w:val="262626" w:themeColor="text1" w:themeTint="D9"/>
          <w:lang w:eastAsia="en-GB"/>
        </w:rPr>
        <w:t>.</w:t>
      </w:r>
    </w:p>
    <w:p w:rsidR="00AE4653" w:rsidRPr="00F73C3A" w:rsidRDefault="00BF1A92" w:rsidP="00AE4653">
      <w:pPr>
        <w:autoSpaceDE w:val="0"/>
        <w:autoSpaceDN w:val="0"/>
        <w:adjustRightInd w:val="0"/>
        <w:rPr>
          <w:rFonts w:ascii="Calibri" w:hAnsi="Calibri" w:cs="Arial"/>
          <w:color w:val="262626" w:themeColor="text1" w:themeTint="D9"/>
          <w:lang w:eastAsia="en-GB"/>
        </w:rPr>
      </w:pPr>
      <w:r w:rsidRPr="00F73C3A">
        <w:rPr>
          <w:rFonts w:ascii="Calibri" w:hAnsi="Calibri" w:cs="Arial"/>
          <w:b/>
          <w:i/>
          <w:color w:val="262626" w:themeColor="text1" w:themeTint="D9"/>
          <w:lang w:eastAsia="en-GB"/>
        </w:rPr>
        <w:t xml:space="preserve">Number of employees </w:t>
      </w:r>
      <w:r w:rsidR="00AE4653" w:rsidRPr="00F73C3A">
        <w:rPr>
          <w:rFonts w:ascii="Calibri" w:hAnsi="Calibri" w:cs="Arial"/>
          <w:color w:val="262626" w:themeColor="text1" w:themeTint="D9"/>
          <w:lang w:eastAsia="en-GB"/>
        </w:rPr>
        <w:t>means the number of annual labour units (ALU)</w:t>
      </w:r>
      <w:r w:rsidRPr="00F73C3A">
        <w:rPr>
          <w:rFonts w:ascii="Calibri" w:hAnsi="Calibri" w:cs="Arial"/>
          <w:color w:val="262626" w:themeColor="text1" w:themeTint="D9"/>
          <w:lang w:eastAsia="en-GB"/>
        </w:rPr>
        <w:t xml:space="preserve"> </w:t>
      </w:r>
      <w:r w:rsidR="00AE4653" w:rsidRPr="00F73C3A">
        <w:rPr>
          <w:rFonts w:ascii="Calibri" w:hAnsi="Calibri" w:cs="Arial"/>
          <w:color w:val="262626" w:themeColor="text1" w:themeTint="D9"/>
          <w:lang w:eastAsia="en-GB"/>
        </w:rPr>
        <w:t>f</w:t>
      </w:r>
      <w:r w:rsidR="003F04F2" w:rsidRPr="00F73C3A">
        <w:rPr>
          <w:rFonts w:ascii="Calibri" w:hAnsi="Calibri" w:cs="Arial"/>
          <w:color w:val="262626" w:themeColor="text1" w:themeTint="D9"/>
          <w:lang w:eastAsia="en-GB"/>
        </w:rPr>
        <w:t>ull time equivalent (FTE) staff</w:t>
      </w:r>
      <w:r w:rsidR="00AE4653" w:rsidRPr="00F73C3A">
        <w:rPr>
          <w:rFonts w:ascii="Calibri" w:hAnsi="Calibri" w:cs="Arial"/>
          <w:color w:val="262626" w:themeColor="text1" w:themeTint="D9"/>
          <w:lang w:eastAsia="en-GB"/>
        </w:rPr>
        <w:t>, namely the number of persons employed</w:t>
      </w:r>
      <w:r w:rsidRPr="00F73C3A">
        <w:rPr>
          <w:rFonts w:ascii="Calibri" w:hAnsi="Calibri" w:cs="Arial"/>
          <w:color w:val="262626" w:themeColor="text1" w:themeTint="D9"/>
          <w:lang w:eastAsia="en-GB"/>
        </w:rPr>
        <w:t xml:space="preserve"> </w:t>
      </w:r>
      <w:r w:rsidR="00AE4653" w:rsidRPr="00F73C3A">
        <w:rPr>
          <w:rFonts w:ascii="Calibri" w:hAnsi="Calibri" w:cs="Arial"/>
          <w:color w:val="262626" w:themeColor="text1" w:themeTint="D9"/>
          <w:lang w:eastAsia="en-GB"/>
        </w:rPr>
        <w:t>full time in one year, part-time and se</w:t>
      </w:r>
      <w:r w:rsidR="003F04F2" w:rsidRPr="00F73C3A">
        <w:rPr>
          <w:rFonts w:ascii="Calibri" w:hAnsi="Calibri" w:cs="Arial"/>
          <w:color w:val="262626" w:themeColor="text1" w:themeTint="D9"/>
          <w:lang w:eastAsia="en-GB"/>
        </w:rPr>
        <w:t>asonal work being ALU fractions.</w:t>
      </w:r>
    </w:p>
    <w:p w:rsidR="009720DE" w:rsidRPr="00F73C3A" w:rsidRDefault="009720DE" w:rsidP="009720DE">
      <w:pPr>
        <w:autoSpaceDE w:val="0"/>
        <w:autoSpaceDN w:val="0"/>
        <w:adjustRightInd w:val="0"/>
        <w:spacing w:after="0"/>
        <w:rPr>
          <w:rFonts w:ascii="Calibri" w:hAnsi="Calibri" w:cs="Arial"/>
          <w:color w:val="262626" w:themeColor="text1" w:themeTint="D9"/>
          <w:lang w:eastAsia="en-GB"/>
        </w:rPr>
      </w:pPr>
      <w:r w:rsidRPr="00F73C3A">
        <w:rPr>
          <w:rFonts w:ascii="Calibri" w:hAnsi="Calibri" w:cs="Arial"/>
          <w:b/>
          <w:i/>
          <w:color w:val="262626" w:themeColor="text1" w:themeTint="D9"/>
          <w:lang w:eastAsia="en-GB"/>
        </w:rPr>
        <w:lastRenderedPageBreak/>
        <w:t xml:space="preserve">Undertaking in difficulty </w:t>
      </w:r>
      <w:r w:rsidRPr="00F73C3A">
        <w:rPr>
          <w:rFonts w:ascii="Calibri" w:hAnsi="Calibri" w:cs="Arial"/>
          <w:color w:val="262626" w:themeColor="text1" w:themeTint="D9"/>
          <w:lang w:eastAsia="en-GB"/>
        </w:rPr>
        <w:t xml:space="preserve">means an undertaking in respect of which at least one of the following circumstances occurs: </w:t>
      </w:r>
    </w:p>
    <w:p w:rsidR="009720DE" w:rsidRPr="00F73C3A" w:rsidRDefault="009720DE" w:rsidP="00F61707">
      <w:pPr>
        <w:pStyle w:val="ListParagraph"/>
        <w:numPr>
          <w:ilvl w:val="0"/>
          <w:numId w:val="29"/>
        </w:numPr>
        <w:autoSpaceDE w:val="0"/>
        <w:autoSpaceDN w:val="0"/>
        <w:adjustRightInd w:val="0"/>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In the case of a limited liability company (other than an SME that has been in existence for less than three years),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2013/34/EU34 and "share capital" includes, where relevant, any share premium.</w:t>
      </w:r>
    </w:p>
    <w:p w:rsidR="009720DE" w:rsidRPr="00F73C3A" w:rsidRDefault="009720DE" w:rsidP="00F61707">
      <w:pPr>
        <w:pStyle w:val="ListParagraph"/>
        <w:numPr>
          <w:ilvl w:val="0"/>
          <w:numId w:val="29"/>
        </w:numPr>
        <w:autoSpaceDE w:val="0"/>
        <w:autoSpaceDN w:val="0"/>
        <w:adjustRightInd w:val="0"/>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w:t>
      </w:r>
      <w:r w:rsidRPr="00F73C3A">
        <w:rPr>
          <w:rFonts w:ascii="Calibri" w:hAnsi="Calibri"/>
          <w:color w:val="262626" w:themeColor="text1" w:themeTint="D9"/>
        </w:rPr>
        <w:t xml:space="preserve"> </w:t>
      </w:r>
      <w:r w:rsidRPr="00F73C3A">
        <w:rPr>
          <w:rFonts w:ascii="Calibri" w:hAnsi="Calibri" w:cs="Arial"/>
          <w:color w:val="262626" w:themeColor="text1" w:themeTint="D9"/>
          <w:lang w:eastAsia="en-GB"/>
        </w:rPr>
        <w:t>for the debt of the company" refers in particular to the types of company mentioned in An</w:t>
      </w:r>
      <w:r w:rsidR="00844957" w:rsidRPr="00F73C3A">
        <w:rPr>
          <w:rFonts w:ascii="Calibri" w:hAnsi="Calibri" w:cs="Arial"/>
          <w:color w:val="262626" w:themeColor="text1" w:themeTint="D9"/>
          <w:lang w:eastAsia="en-GB"/>
        </w:rPr>
        <w:t>nex II of Directive 2013/34/EU.</w:t>
      </w:r>
      <w:r w:rsidRPr="00F73C3A">
        <w:rPr>
          <w:rFonts w:ascii="Calibri" w:hAnsi="Calibri" w:cs="Arial"/>
          <w:color w:val="262626" w:themeColor="text1" w:themeTint="D9"/>
          <w:lang w:eastAsia="en-GB"/>
        </w:rPr>
        <w:t xml:space="preserve"> </w:t>
      </w:r>
    </w:p>
    <w:p w:rsidR="009720DE" w:rsidRPr="00F73C3A" w:rsidRDefault="009720DE" w:rsidP="00F61707">
      <w:pPr>
        <w:pStyle w:val="ListParagraph"/>
        <w:numPr>
          <w:ilvl w:val="0"/>
          <w:numId w:val="29"/>
        </w:numPr>
        <w:autoSpaceDE w:val="0"/>
        <w:autoSpaceDN w:val="0"/>
        <w:adjustRightInd w:val="0"/>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Where the undertaking is subject to collective insolvency proceedings or fulfils the criteria under its domestic law for being placed in collective insolvency proceedings at the request of its creditors.</w:t>
      </w:r>
    </w:p>
    <w:p w:rsidR="009720DE" w:rsidRPr="00F73C3A" w:rsidRDefault="009720DE" w:rsidP="00F61707">
      <w:pPr>
        <w:pStyle w:val="ListParagraph"/>
        <w:numPr>
          <w:ilvl w:val="0"/>
          <w:numId w:val="29"/>
        </w:numPr>
        <w:autoSpaceDE w:val="0"/>
        <w:autoSpaceDN w:val="0"/>
        <w:adjustRightInd w:val="0"/>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 xml:space="preserve">Where the undertaking has received rescue aid and has not yet reimbursed the loan or terminated the guarantee, or has received restructuring aid and is still subject to a restructuring plan. </w:t>
      </w:r>
    </w:p>
    <w:p w:rsidR="009720DE" w:rsidRPr="00F73C3A" w:rsidRDefault="009720DE" w:rsidP="00F61707">
      <w:pPr>
        <w:pStyle w:val="ListParagraph"/>
        <w:numPr>
          <w:ilvl w:val="0"/>
          <w:numId w:val="30"/>
        </w:numPr>
        <w:autoSpaceDE w:val="0"/>
        <w:autoSpaceDN w:val="0"/>
        <w:adjustRightInd w:val="0"/>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In the case of an undertaking that is not an SME</w:t>
      </w:r>
      <w:r w:rsidR="00844957" w:rsidRPr="00F73C3A">
        <w:rPr>
          <w:rFonts w:ascii="Calibri" w:hAnsi="Calibri" w:cs="Arial"/>
          <w:color w:val="262626" w:themeColor="text1" w:themeTint="D9"/>
          <w:lang w:eastAsia="en-GB"/>
        </w:rPr>
        <w:t xml:space="preserve">, where, for the past two years </w:t>
      </w:r>
      <w:r w:rsidRPr="00F73C3A">
        <w:rPr>
          <w:rFonts w:ascii="Calibri" w:hAnsi="Calibri" w:cs="Arial"/>
          <w:color w:val="262626" w:themeColor="text1" w:themeTint="D9"/>
          <w:lang w:eastAsia="en-GB"/>
        </w:rPr>
        <w:t>the undertaking’s book debt to equity ratio has been greater than 7.5 and</w:t>
      </w:r>
      <w:r w:rsidR="00844957" w:rsidRPr="00F73C3A">
        <w:rPr>
          <w:rFonts w:ascii="Calibri" w:hAnsi="Calibri" w:cs="Arial"/>
          <w:color w:val="262626" w:themeColor="text1" w:themeTint="D9"/>
          <w:lang w:eastAsia="en-GB"/>
        </w:rPr>
        <w:t xml:space="preserve"> </w:t>
      </w:r>
      <w:r w:rsidRPr="00F73C3A">
        <w:rPr>
          <w:rFonts w:ascii="Calibri" w:hAnsi="Calibri" w:cs="Arial"/>
          <w:color w:val="262626" w:themeColor="text1" w:themeTint="D9"/>
          <w:lang w:eastAsia="en-GB"/>
        </w:rPr>
        <w:t>the undertaking's EBITDA interest coverage ratio has been below 1.0.</w:t>
      </w:r>
    </w:p>
    <w:p w:rsidR="00151913" w:rsidRPr="00F73C3A" w:rsidRDefault="00151913">
      <w:pPr>
        <w:autoSpaceDE w:val="0"/>
        <w:autoSpaceDN w:val="0"/>
        <w:adjustRightInd w:val="0"/>
        <w:spacing w:after="0"/>
        <w:ind w:left="720" w:firstLine="720"/>
        <w:rPr>
          <w:rFonts w:ascii="Calibri" w:hAnsi="Calibri" w:cs="Arial"/>
          <w:color w:val="262626" w:themeColor="text1" w:themeTint="D9"/>
          <w:lang w:eastAsia="en-GB"/>
        </w:rPr>
      </w:pPr>
    </w:p>
    <w:p w:rsidR="00AE4653" w:rsidRPr="00F73C3A" w:rsidRDefault="00BF1A92" w:rsidP="00AE4653">
      <w:pPr>
        <w:autoSpaceDE w:val="0"/>
        <w:autoSpaceDN w:val="0"/>
        <w:adjustRightInd w:val="0"/>
        <w:rPr>
          <w:rFonts w:ascii="Calibri" w:hAnsi="Calibri" w:cs="Arial"/>
          <w:color w:val="262626" w:themeColor="text1" w:themeTint="D9"/>
          <w:lang w:eastAsia="en-GB"/>
        </w:rPr>
      </w:pPr>
      <w:r w:rsidRPr="00F73C3A">
        <w:rPr>
          <w:rFonts w:ascii="Calibri" w:hAnsi="Calibri" w:cs="Arial"/>
          <w:b/>
          <w:i/>
          <w:color w:val="262626" w:themeColor="text1" w:themeTint="D9"/>
          <w:lang w:eastAsia="en-GB"/>
        </w:rPr>
        <w:t>Job creation</w:t>
      </w:r>
      <w:r w:rsidR="00AE4653" w:rsidRPr="00F73C3A">
        <w:rPr>
          <w:rFonts w:ascii="Calibri" w:hAnsi="Calibri" w:cs="Arial"/>
          <w:color w:val="262626" w:themeColor="text1" w:themeTint="D9"/>
          <w:lang w:eastAsia="en-GB"/>
        </w:rPr>
        <w:t xml:space="preserve"> means a net increase in the number of employees directly</w:t>
      </w:r>
      <w:r w:rsidRPr="00F73C3A">
        <w:rPr>
          <w:rFonts w:ascii="Calibri" w:hAnsi="Calibri" w:cs="Arial"/>
          <w:color w:val="262626" w:themeColor="text1" w:themeTint="D9"/>
          <w:lang w:eastAsia="en-GB"/>
        </w:rPr>
        <w:t xml:space="preserve"> </w:t>
      </w:r>
      <w:r w:rsidR="00AE4653" w:rsidRPr="00F73C3A">
        <w:rPr>
          <w:rFonts w:ascii="Calibri" w:hAnsi="Calibri" w:cs="Arial"/>
          <w:color w:val="262626" w:themeColor="text1" w:themeTint="D9"/>
          <w:lang w:eastAsia="en-GB"/>
        </w:rPr>
        <w:t>concerned with the activity to which the investment relates, including</w:t>
      </w:r>
      <w:r w:rsidRPr="00F73C3A">
        <w:rPr>
          <w:rFonts w:ascii="Calibri" w:hAnsi="Calibri" w:cs="Arial"/>
          <w:color w:val="262626" w:themeColor="text1" w:themeTint="D9"/>
          <w:lang w:eastAsia="en-GB"/>
        </w:rPr>
        <w:t xml:space="preserve"> </w:t>
      </w:r>
      <w:r w:rsidR="00AE4653" w:rsidRPr="00F73C3A">
        <w:rPr>
          <w:rFonts w:ascii="Calibri" w:hAnsi="Calibri" w:cs="Arial"/>
          <w:color w:val="262626" w:themeColor="text1" w:themeTint="D9"/>
          <w:lang w:eastAsia="en-GB"/>
        </w:rPr>
        <w:t>employment created following an increase in the utilisation rate of the</w:t>
      </w:r>
      <w:r w:rsidRPr="00F73C3A">
        <w:rPr>
          <w:rFonts w:ascii="Calibri" w:hAnsi="Calibri" w:cs="Arial"/>
          <w:color w:val="262626" w:themeColor="text1" w:themeTint="D9"/>
          <w:lang w:eastAsia="en-GB"/>
        </w:rPr>
        <w:t xml:space="preserve"> </w:t>
      </w:r>
      <w:r w:rsidR="00AE4653" w:rsidRPr="00F73C3A">
        <w:rPr>
          <w:rFonts w:ascii="Calibri" w:hAnsi="Calibri" w:cs="Arial"/>
          <w:color w:val="262626" w:themeColor="text1" w:themeTint="D9"/>
          <w:lang w:eastAsia="en-GB"/>
        </w:rPr>
        <w:t>capacity created by the investment. The net increase is the increase in</w:t>
      </w:r>
      <w:r w:rsidRPr="00F73C3A">
        <w:rPr>
          <w:rFonts w:ascii="Calibri" w:hAnsi="Calibri" w:cs="Arial"/>
          <w:color w:val="262626" w:themeColor="text1" w:themeTint="D9"/>
          <w:lang w:eastAsia="en-GB"/>
        </w:rPr>
        <w:t xml:space="preserve"> </w:t>
      </w:r>
      <w:r w:rsidR="00AE4653" w:rsidRPr="00F73C3A">
        <w:rPr>
          <w:rFonts w:ascii="Calibri" w:hAnsi="Calibri" w:cs="Arial"/>
          <w:color w:val="262626" w:themeColor="text1" w:themeTint="D9"/>
          <w:lang w:eastAsia="en-GB"/>
        </w:rPr>
        <w:t>employment compared to the average number of employees over the</w:t>
      </w:r>
      <w:r w:rsidRPr="00F73C3A">
        <w:rPr>
          <w:rFonts w:ascii="Calibri" w:hAnsi="Calibri" w:cs="Arial"/>
          <w:color w:val="262626" w:themeColor="text1" w:themeTint="D9"/>
          <w:lang w:eastAsia="en-GB"/>
        </w:rPr>
        <w:t xml:space="preserve"> </w:t>
      </w:r>
      <w:r w:rsidR="003F04F2" w:rsidRPr="00F73C3A">
        <w:rPr>
          <w:rFonts w:ascii="Calibri" w:hAnsi="Calibri" w:cs="Arial"/>
          <w:color w:val="262626" w:themeColor="text1" w:themeTint="D9"/>
          <w:lang w:eastAsia="en-GB"/>
        </w:rPr>
        <w:t>previous 12 months.</w:t>
      </w:r>
    </w:p>
    <w:p w:rsidR="005E6E49" w:rsidRPr="00F73C3A" w:rsidRDefault="000D0198" w:rsidP="005E6E49">
      <w:pPr>
        <w:autoSpaceDE w:val="0"/>
        <w:autoSpaceDN w:val="0"/>
        <w:adjustRightInd w:val="0"/>
        <w:rPr>
          <w:rFonts w:ascii="Calibri" w:hAnsi="Calibri" w:cs="Arial"/>
          <w:color w:val="262626" w:themeColor="text1" w:themeTint="D9"/>
          <w:szCs w:val="20"/>
          <w:lang w:val="en-US"/>
        </w:rPr>
      </w:pPr>
      <w:r w:rsidRPr="00F73C3A">
        <w:rPr>
          <w:rFonts w:ascii="Calibri" w:hAnsi="Calibri" w:cs="Arial"/>
          <w:b/>
          <w:i/>
          <w:color w:val="262626" w:themeColor="text1" w:themeTint="D9"/>
          <w:lang w:eastAsia="en-GB"/>
        </w:rPr>
        <w:t>J</w:t>
      </w:r>
      <w:r w:rsidR="00AE4653" w:rsidRPr="00F73C3A">
        <w:rPr>
          <w:rFonts w:ascii="Calibri" w:hAnsi="Calibri" w:cs="Arial"/>
          <w:b/>
          <w:i/>
          <w:color w:val="262626" w:themeColor="text1" w:themeTint="D9"/>
          <w:lang w:eastAsia="en-GB"/>
        </w:rPr>
        <w:t>ob safeguarding</w:t>
      </w:r>
      <w:r w:rsidR="00AE4653" w:rsidRPr="00F73C3A">
        <w:rPr>
          <w:rFonts w:ascii="Calibri" w:hAnsi="Calibri" w:cs="Arial"/>
          <w:color w:val="262626" w:themeColor="text1" w:themeTint="D9"/>
          <w:lang w:eastAsia="en-GB"/>
        </w:rPr>
        <w:t xml:space="preserve"> is not defined in EC State Aid law. For the purposes</w:t>
      </w:r>
      <w:r w:rsidRPr="00F73C3A">
        <w:rPr>
          <w:rFonts w:ascii="Calibri" w:hAnsi="Calibri" w:cs="Arial"/>
          <w:color w:val="262626" w:themeColor="text1" w:themeTint="D9"/>
          <w:lang w:eastAsia="en-GB"/>
        </w:rPr>
        <w:t xml:space="preserve"> </w:t>
      </w:r>
      <w:r w:rsidR="00AE4653" w:rsidRPr="00F73C3A">
        <w:rPr>
          <w:rFonts w:ascii="Calibri" w:hAnsi="Calibri" w:cs="Arial"/>
          <w:color w:val="262626" w:themeColor="text1" w:themeTint="D9"/>
          <w:lang w:eastAsia="en-GB"/>
        </w:rPr>
        <w:t xml:space="preserve">of </w:t>
      </w:r>
      <w:r w:rsidR="00612905" w:rsidRPr="00F73C3A">
        <w:rPr>
          <w:rFonts w:ascii="Calibri" w:hAnsi="Calibri" w:cs="Arial"/>
          <w:color w:val="262626" w:themeColor="text1" w:themeTint="D9"/>
          <w:lang w:eastAsia="en-GB"/>
        </w:rPr>
        <w:t>Cumbria Growth Fund</w:t>
      </w:r>
      <w:r w:rsidR="00AE4653" w:rsidRPr="00F73C3A">
        <w:rPr>
          <w:rFonts w:ascii="Calibri" w:hAnsi="Calibri" w:cs="Arial"/>
          <w:color w:val="262626" w:themeColor="text1" w:themeTint="D9"/>
          <w:lang w:eastAsia="en-GB"/>
        </w:rPr>
        <w:t xml:space="preserve"> </w:t>
      </w:r>
      <w:r w:rsidR="005E6E49" w:rsidRPr="00F73C3A">
        <w:rPr>
          <w:rFonts w:ascii="Calibri" w:hAnsi="Calibri" w:cs="Arial"/>
          <w:color w:val="262626" w:themeColor="text1" w:themeTint="D9"/>
          <w:szCs w:val="20"/>
          <w:lang w:val="en-US"/>
        </w:rPr>
        <w:t>applicants must be able to clearly demonstrate that these jobs will be lost if the project does not go ahead. We would usually expect the jobs to be lost within fifteen mo</w:t>
      </w:r>
      <w:r w:rsidR="003F04F2" w:rsidRPr="00F73C3A">
        <w:rPr>
          <w:rFonts w:ascii="Calibri" w:hAnsi="Calibri" w:cs="Arial"/>
          <w:color w:val="262626" w:themeColor="text1" w:themeTint="D9"/>
          <w:szCs w:val="20"/>
          <w:lang w:val="en-US"/>
        </w:rPr>
        <w:t>nths of the project commencing.</w:t>
      </w:r>
    </w:p>
    <w:p w:rsidR="00034425" w:rsidRPr="00F73C3A" w:rsidRDefault="00034425" w:rsidP="00034425">
      <w:pPr>
        <w:autoSpaceDE w:val="0"/>
        <w:autoSpaceDN w:val="0"/>
        <w:adjustRightInd w:val="0"/>
        <w:rPr>
          <w:rFonts w:ascii="Calibri" w:hAnsi="Calibri"/>
          <w:color w:val="262626" w:themeColor="text1" w:themeTint="D9"/>
          <w:lang w:eastAsia="en-GB"/>
        </w:rPr>
      </w:pPr>
      <w:r w:rsidRPr="00F73C3A">
        <w:rPr>
          <w:rFonts w:ascii="Calibri" w:hAnsi="Calibri" w:cs="Arial"/>
          <w:b/>
          <w:i/>
          <w:color w:val="262626" w:themeColor="text1" w:themeTint="D9"/>
          <w:lang w:eastAsia="en-GB"/>
        </w:rPr>
        <w:t>Wage cost</w:t>
      </w:r>
      <w:r w:rsidRPr="00F73C3A">
        <w:rPr>
          <w:rFonts w:ascii="Calibri" w:hAnsi="Calibri" w:cs="Arial"/>
          <w:color w:val="262626" w:themeColor="text1" w:themeTint="D9"/>
          <w:lang w:eastAsia="en-GB"/>
        </w:rPr>
        <w:t xml:space="preserve"> means the total amount actually payable by the beneficiary of the aid in respect of the employment concerned, comprising over a defined period of time the gross wage before tax and compulsory contributions such as social security, child care and parent care costs. </w:t>
      </w:r>
    </w:p>
    <w:p w:rsidR="00151913" w:rsidRPr="00F73C3A" w:rsidRDefault="007C6244">
      <w:pPr>
        <w:autoSpaceDE w:val="0"/>
        <w:autoSpaceDN w:val="0"/>
        <w:adjustRightInd w:val="0"/>
        <w:spacing w:after="0"/>
        <w:rPr>
          <w:rFonts w:ascii="Calibri" w:hAnsi="Calibri" w:cs="Arial"/>
          <w:color w:val="262626" w:themeColor="text1" w:themeTint="D9"/>
          <w:lang w:eastAsia="en-GB"/>
        </w:rPr>
      </w:pPr>
      <w:r w:rsidRPr="00F73C3A">
        <w:rPr>
          <w:rFonts w:ascii="Calibri" w:hAnsi="Calibri" w:cs="Arial"/>
          <w:b/>
          <w:i/>
          <w:color w:val="262626" w:themeColor="text1" w:themeTint="D9"/>
          <w:lang w:eastAsia="en-GB"/>
        </w:rPr>
        <w:t xml:space="preserve">'net increase in the number of employees' </w:t>
      </w:r>
      <w:r w:rsidRPr="00F73C3A">
        <w:rPr>
          <w:rFonts w:ascii="Calibri" w:hAnsi="Calibri" w:cs="Arial"/>
          <w:color w:val="262626" w:themeColor="text1" w:themeTint="D9"/>
          <w:lang w:eastAsia="en-GB"/>
        </w:rPr>
        <w:t>means a net increase in the number of employees in the establishment concerned compared with the average over a given period in time, and that any posts lost during that period must therefore be deducted and that the number of persons employed full-time, part-time and seasonal has to be considered with the</w:t>
      </w:r>
      <w:r w:rsidR="003F04F2" w:rsidRPr="00F73C3A">
        <w:rPr>
          <w:rFonts w:ascii="Calibri" w:hAnsi="Calibri" w:cs="Arial"/>
          <w:color w:val="262626" w:themeColor="text1" w:themeTint="D9"/>
          <w:lang w:eastAsia="en-GB"/>
        </w:rPr>
        <w:t>ir Annual Labour Unit fractions</w:t>
      </w:r>
    </w:p>
    <w:p w:rsidR="00151913" w:rsidRPr="00F73C3A" w:rsidRDefault="00151913">
      <w:pPr>
        <w:autoSpaceDE w:val="0"/>
        <w:autoSpaceDN w:val="0"/>
        <w:adjustRightInd w:val="0"/>
        <w:spacing w:after="0"/>
        <w:rPr>
          <w:rFonts w:ascii="Calibri" w:hAnsi="Calibri" w:cs="Arial"/>
          <w:color w:val="262626" w:themeColor="text1" w:themeTint="D9"/>
          <w:lang w:eastAsia="en-GB"/>
        </w:rPr>
      </w:pPr>
    </w:p>
    <w:p w:rsidR="00151913" w:rsidRPr="00F73C3A" w:rsidRDefault="00C517DB">
      <w:pPr>
        <w:autoSpaceDE w:val="0"/>
        <w:autoSpaceDN w:val="0"/>
        <w:adjustRightInd w:val="0"/>
        <w:spacing w:after="0"/>
        <w:rPr>
          <w:rFonts w:ascii="Calibri" w:hAnsi="Calibri" w:cs="Arial"/>
          <w:color w:val="262626" w:themeColor="text1" w:themeTint="D9"/>
          <w:lang w:eastAsia="en-GB"/>
        </w:rPr>
      </w:pPr>
      <w:r w:rsidRPr="00F73C3A">
        <w:rPr>
          <w:rFonts w:ascii="Calibri" w:hAnsi="Calibri" w:cs="Arial"/>
          <w:b/>
          <w:i/>
          <w:color w:val="262626" w:themeColor="text1" w:themeTint="D9"/>
          <w:lang w:eastAsia="en-GB"/>
        </w:rPr>
        <w:t>Employment directly created by an investment project</w:t>
      </w:r>
      <w:r w:rsidR="000A2973" w:rsidRPr="00F73C3A">
        <w:rPr>
          <w:rFonts w:ascii="Calibri" w:hAnsi="Calibri" w:cs="Arial"/>
          <w:color w:val="262626" w:themeColor="text1" w:themeTint="D9"/>
          <w:lang w:eastAsia="en-GB"/>
        </w:rPr>
        <w:t xml:space="preserve"> means employment concerning the activity to which the investment relates, including employment created following an increase in the utilisation rate of the capacity created by the investment</w:t>
      </w:r>
      <w:r w:rsidR="00857D7C" w:rsidRPr="00F73C3A">
        <w:rPr>
          <w:rFonts w:ascii="Calibri" w:hAnsi="Calibri" w:cs="Arial"/>
          <w:color w:val="262626" w:themeColor="text1" w:themeTint="D9"/>
          <w:lang w:eastAsia="en-GB"/>
        </w:rPr>
        <w:t>.</w:t>
      </w:r>
    </w:p>
    <w:p w:rsidR="00FC02A8" w:rsidRPr="00F73C3A" w:rsidRDefault="00FC02A8">
      <w:pPr>
        <w:autoSpaceDE w:val="0"/>
        <w:autoSpaceDN w:val="0"/>
        <w:adjustRightInd w:val="0"/>
        <w:spacing w:after="0"/>
        <w:rPr>
          <w:rFonts w:ascii="Calibri" w:hAnsi="Calibri" w:cs="Arial"/>
          <w:color w:val="262626" w:themeColor="text1" w:themeTint="D9"/>
          <w:lang w:eastAsia="en-GB"/>
        </w:rPr>
      </w:pPr>
    </w:p>
    <w:p w:rsidR="00FC02A8" w:rsidRPr="00F73C3A" w:rsidRDefault="00FC02A8">
      <w:pPr>
        <w:autoSpaceDE w:val="0"/>
        <w:autoSpaceDN w:val="0"/>
        <w:adjustRightInd w:val="0"/>
        <w:spacing w:after="0"/>
        <w:rPr>
          <w:rFonts w:ascii="Calibri" w:hAnsi="Calibri" w:cs="Arial"/>
          <w:color w:val="262626" w:themeColor="text1" w:themeTint="D9"/>
          <w:lang w:eastAsia="en-GB"/>
        </w:rPr>
      </w:pPr>
      <w:r w:rsidRPr="00F73C3A">
        <w:rPr>
          <w:rFonts w:ascii="Calibri" w:hAnsi="Calibri" w:cs="Arial"/>
          <w:b/>
          <w:i/>
          <w:color w:val="262626" w:themeColor="text1" w:themeTint="D9"/>
          <w:lang w:eastAsia="en-GB"/>
        </w:rPr>
        <w:t>A disadvantaged worker</w:t>
      </w:r>
      <w:r w:rsidRPr="00F73C3A">
        <w:rPr>
          <w:rFonts w:ascii="Calibri" w:hAnsi="Calibri" w:cs="Arial"/>
          <w:color w:val="262626" w:themeColor="text1" w:themeTint="D9"/>
          <w:lang w:eastAsia="en-GB"/>
        </w:rPr>
        <w:t xml:space="preserve"> means any person who</w:t>
      </w:r>
      <w:r w:rsidR="003F04F2" w:rsidRPr="00F73C3A">
        <w:rPr>
          <w:rFonts w:ascii="Calibri" w:hAnsi="Calibri" w:cs="Arial"/>
          <w:color w:val="262626" w:themeColor="text1" w:themeTint="D9"/>
          <w:lang w:eastAsia="en-GB"/>
        </w:rPr>
        <w:t xml:space="preserve"> meets one or more of the following criteria</w:t>
      </w:r>
      <w:r w:rsidRPr="00F73C3A">
        <w:rPr>
          <w:rFonts w:ascii="Calibri" w:hAnsi="Calibri" w:cs="Arial"/>
          <w:color w:val="262626" w:themeColor="text1" w:themeTint="D9"/>
          <w:lang w:eastAsia="en-GB"/>
        </w:rPr>
        <w:t>:</w:t>
      </w:r>
    </w:p>
    <w:p w:rsidR="00FC02A8" w:rsidRPr="00F73C3A" w:rsidRDefault="00FC02A8" w:rsidP="00F61707">
      <w:pPr>
        <w:pStyle w:val="ListParagraph"/>
        <w:numPr>
          <w:ilvl w:val="0"/>
          <w:numId w:val="28"/>
        </w:numPr>
        <w:autoSpaceDE w:val="0"/>
        <w:autoSpaceDN w:val="0"/>
        <w:adjustRightInd w:val="0"/>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has not been in regular paid emplo</w:t>
      </w:r>
      <w:r w:rsidR="008D405B" w:rsidRPr="00F73C3A">
        <w:rPr>
          <w:rFonts w:ascii="Calibri" w:hAnsi="Calibri" w:cs="Arial"/>
          <w:color w:val="262626" w:themeColor="text1" w:themeTint="D9"/>
          <w:lang w:eastAsia="en-GB"/>
        </w:rPr>
        <w:t>yment for the previous six</w:t>
      </w:r>
      <w:r w:rsidR="003F04F2" w:rsidRPr="00F73C3A">
        <w:rPr>
          <w:rFonts w:ascii="Calibri" w:hAnsi="Calibri" w:cs="Arial"/>
          <w:color w:val="262626" w:themeColor="text1" w:themeTint="D9"/>
          <w:lang w:eastAsia="en-GB"/>
        </w:rPr>
        <w:t xml:space="preserve"> months </w:t>
      </w:r>
    </w:p>
    <w:p w:rsidR="00FC02A8" w:rsidRPr="00F73C3A" w:rsidRDefault="00FC02A8" w:rsidP="00F61707">
      <w:pPr>
        <w:pStyle w:val="ListParagraph"/>
        <w:numPr>
          <w:ilvl w:val="0"/>
          <w:numId w:val="28"/>
        </w:numPr>
        <w:autoSpaceDE w:val="0"/>
        <w:autoSpaceDN w:val="0"/>
        <w:adjustRightInd w:val="0"/>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is</w:t>
      </w:r>
      <w:r w:rsidR="003F04F2" w:rsidRPr="00F73C3A">
        <w:rPr>
          <w:rFonts w:ascii="Calibri" w:hAnsi="Calibri" w:cs="Arial"/>
          <w:color w:val="262626" w:themeColor="text1" w:themeTint="D9"/>
          <w:lang w:eastAsia="en-GB"/>
        </w:rPr>
        <w:t xml:space="preserve"> between 15 and 24 years of age </w:t>
      </w:r>
    </w:p>
    <w:p w:rsidR="00FC02A8" w:rsidRPr="00F73C3A" w:rsidRDefault="00FC02A8" w:rsidP="00F61707">
      <w:pPr>
        <w:pStyle w:val="ListParagraph"/>
        <w:numPr>
          <w:ilvl w:val="0"/>
          <w:numId w:val="28"/>
        </w:numPr>
        <w:autoSpaceDE w:val="0"/>
        <w:autoSpaceDN w:val="0"/>
        <w:adjustRightInd w:val="0"/>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has not attained an upper secondary educational or vocational qualification (International Standard Classification of Education 3) or is within two years after completing full-time education and who has not previously obtained his or he</w:t>
      </w:r>
      <w:r w:rsidR="003F04F2" w:rsidRPr="00F73C3A">
        <w:rPr>
          <w:rFonts w:ascii="Calibri" w:hAnsi="Calibri" w:cs="Arial"/>
          <w:color w:val="262626" w:themeColor="text1" w:themeTint="D9"/>
          <w:lang w:eastAsia="en-GB"/>
        </w:rPr>
        <w:t xml:space="preserve">r first regular paid employment </w:t>
      </w:r>
    </w:p>
    <w:p w:rsidR="00FC02A8" w:rsidRPr="00F73C3A" w:rsidRDefault="003F04F2" w:rsidP="00F61707">
      <w:pPr>
        <w:pStyle w:val="ListParagraph"/>
        <w:numPr>
          <w:ilvl w:val="0"/>
          <w:numId w:val="28"/>
        </w:numPr>
        <w:autoSpaceDE w:val="0"/>
        <w:autoSpaceDN w:val="0"/>
        <w:adjustRightInd w:val="0"/>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is over the age of 50 years</w:t>
      </w:r>
    </w:p>
    <w:p w:rsidR="00FC02A8" w:rsidRPr="00F73C3A" w:rsidRDefault="00FC02A8" w:rsidP="00F61707">
      <w:pPr>
        <w:pStyle w:val="ListParagraph"/>
        <w:numPr>
          <w:ilvl w:val="0"/>
          <w:numId w:val="28"/>
        </w:numPr>
        <w:autoSpaceDE w:val="0"/>
        <w:autoSpaceDN w:val="0"/>
        <w:adjustRightInd w:val="0"/>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lives as a single adult with one or more depe</w:t>
      </w:r>
      <w:r w:rsidR="003F04F2" w:rsidRPr="00F73C3A">
        <w:rPr>
          <w:rFonts w:ascii="Calibri" w:hAnsi="Calibri" w:cs="Arial"/>
          <w:color w:val="262626" w:themeColor="text1" w:themeTint="D9"/>
          <w:lang w:eastAsia="en-GB"/>
        </w:rPr>
        <w:t>ndents</w:t>
      </w:r>
    </w:p>
    <w:p w:rsidR="00FC02A8" w:rsidRPr="00F73C3A" w:rsidRDefault="00FC02A8" w:rsidP="00F61707">
      <w:pPr>
        <w:pStyle w:val="ListParagraph"/>
        <w:numPr>
          <w:ilvl w:val="0"/>
          <w:numId w:val="28"/>
        </w:numPr>
        <w:autoSpaceDE w:val="0"/>
        <w:autoSpaceDN w:val="0"/>
        <w:adjustRightInd w:val="0"/>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 xml:space="preserve">works in a sector or profession in a Member State where the </w:t>
      </w:r>
      <w:r w:rsidR="008D405B" w:rsidRPr="00F73C3A">
        <w:rPr>
          <w:rFonts w:ascii="Calibri" w:hAnsi="Calibri" w:cs="Arial"/>
          <w:color w:val="262626" w:themeColor="text1" w:themeTint="D9"/>
          <w:lang w:eastAsia="en-GB"/>
        </w:rPr>
        <w:t>gender imbalance is at least 25</w:t>
      </w:r>
      <w:r w:rsidRPr="00F73C3A">
        <w:rPr>
          <w:rFonts w:ascii="Calibri" w:hAnsi="Calibri" w:cs="Arial"/>
          <w:color w:val="262626" w:themeColor="text1" w:themeTint="D9"/>
          <w:lang w:eastAsia="en-GB"/>
        </w:rPr>
        <w:t>% higher than the average gender imbalance across all economic sectors in that Member State, and belongs to that u</w:t>
      </w:r>
      <w:r w:rsidR="003F04F2" w:rsidRPr="00F73C3A">
        <w:rPr>
          <w:rFonts w:ascii="Calibri" w:hAnsi="Calibri" w:cs="Arial"/>
          <w:color w:val="262626" w:themeColor="text1" w:themeTint="D9"/>
          <w:lang w:eastAsia="en-GB"/>
        </w:rPr>
        <w:t>nderrepresented gender group</w:t>
      </w:r>
    </w:p>
    <w:p w:rsidR="00FC02A8" w:rsidRPr="00F73C3A" w:rsidRDefault="00FC02A8" w:rsidP="00F61707">
      <w:pPr>
        <w:pStyle w:val="ListParagraph"/>
        <w:numPr>
          <w:ilvl w:val="0"/>
          <w:numId w:val="28"/>
        </w:numPr>
        <w:autoSpaceDE w:val="0"/>
        <w:autoSpaceDN w:val="0"/>
        <w:adjustRightInd w:val="0"/>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lastRenderedPageBreak/>
        <w:t>is a member of an ethnic minority within a Member State and who requires development of his or her linguistic, vocational training or work experience profile to enhance prospects of gain</w:t>
      </w:r>
      <w:r w:rsidR="003F04F2" w:rsidRPr="00F73C3A">
        <w:rPr>
          <w:rFonts w:ascii="Calibri" w:hAnsi="Calibri" w:cs="Arial"/>
          <w:color w:val="262626" w:themeColor="text1" w:themeTint="D9"/>
          <w:lang w:eastAsia="en-GB"/>
        </w:rPr>
        <w:t>ing access to stable employment</w:t>
      </w:r>
    </w:p>
    <w:p w:rsidR="00151913" w:rsidRPr="00F73C3A" w:rsidRDefault="00151913">
      <w:pPr>
        <w:autoSpaceDE w:val="0"/>
        <w:autoSpaceDN w:val="0"/>
        <w:adjustRightInd w:val="0"/>
        <w:spacing w:after="0"/>
        <w:rPr>
          <w:rFonts w:ascii="Calibri" w:hAnsi="Calibri" w:cs="Arial"/>
          <w:color w:val="262626" w:themeColor="text1" w:themeTint="D9"/>
          <w:lang w:eastAsia="en-GB"/>
        </w:rPr>
      </w:pPr>
    </w:p>
    <w:p w:rsidR="00FC02A8" w:rsidRPr="00F73C3A" w:rsidRDefault="00FC02A8" w:rsidP="00AE4653">
      <w:pPr>
        <w:autoSpaceDE w:val="0"/>
        <w:autoSpaceDN w:val="0"/>
        <w:adjustRightInd w:val="0"/>
        <w:rPr>
          <w:rFonts w:ascii="Calibri" w:hAnsi="Calibri" w:cs="Arial"/>
          <w:color w:val="262626" w:themeColor="text1" w:themeTint="D9"/>
          <w:lang w:eastAsia="en-GB"/>
        </w:rPr>
      </w:pPr>
      <w:r w:rsidRPr="00F73C3A">
        <w:rPr>
          <w:rFonts w:ascii="Calibri" w:hAnsi="Calibri" w:cs="Arial"/>
          <w:b/>
          <w:i/>
          <w:color w:val="262626" w:themeColor="text1" w:themeTint="D9"/>
          <w:lang w:eastAsia="en-GB"/>
        </w:rPr>
        <w:t xml:space="preserve">A worker with disabilities </w:t>
      </w:r>
      <w:r w:rsidRPr="00F73C3A">
        <w:rPr>
          <w:rFonts w:ascii="Calibri" w:hAnsi="Calibri" w:cs="Arial"/>
          <w:color w:val="262626" w:themeColor="text1" w:themeTint="D9"/>
          <w:lang w:eastAsia="en-GB"/>
        </w:rPr>
        <w:t>means any person who:</w:t>
      </w:r>
    </w:p>
    <w:p w:rsidR="00FC02A8" w:rsidRPr="00F73C3A" w:rsidRDefault="00FC02A8" w:rsidP="00F61707">
      <w:pPr>
        <w:pStyle w:val="ListParagraph"/>
        <w:numPr>
          <w:ilvl w:val="0"/>
          <w:numId w:val="31"/>
        </w:numPr>
        <w:autoSpaceDE w:val="0"/>
        <w:autoSpaceDN w:val="0"/>
        <w:adjustRightInd w:val="0"/>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 xml:space="preserve">is recognised as worker with </w:t>
      </w:r>
      <w:r w:rsidR="003F04F2" w:rsidRPr="00F73C3A">
        <w:rPr>
          <w:rFonts w:ascii="Calibri" w:hAnsi="Calibri" w:cs="Arial"/>
          <w:color w:val="262626" w:themeColor="text1" w:themeTint="D9"/>
          <w:lang w:eastAsia="en-GB"/>
        </w:rPr>
        <w:t>disabilities under national law</w:t>
      </w:r>
      <w:r w:rsidRPr="00F73C3A">
        <w:rPr>
          <w:rFonts w:ascii="Calibri" w:hAnsi="Calibri" w:cs="Arial"/>
          <w:color w:val="262626" w:themeColor="text1" w:themeTint="D9"/>
          <w:lang w:eastAsia="en-GB"/>
        </w:rPr>
        <w:t xml:space="preserve"> or</w:t>
      </w:r>
    </w:p>
    <w:p w:rsidR="00FC02A8" w:rsidRPr="00F73C3A" w:rsidRDefault="00F64EB5" w:rsidP="00F61707">
      <w:pPr>
        <w:pStyle w:val="ListParagraph"/>
        <w:numPr>
          <w:ilvl w:val="0"/>
          <w:numId w:val="31"/>
        </w:numPr>
        <w:autoSpaceDE w:val="0"/>
        <w:autoSpaceDN w:val="0"/>
        <w:adjustRightInd w:val="0"/>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 xml:space="preserve">has a </w:t>
      </w:r>
      <w:r w:rsidR="00FC02A8" w:rsidRPr="00F73C3A">
        <w:rPr>
          <w:rFonts w:ascii="Calibri" w:hAnsi="Calibri" w:cs="Arial"/>
          <w:color w:val="262626" w:themeColor="text1" w:themeTint="D9"/>
          <w:lang w:eastAsia="en-GB"/>
        </w:rPr>
        <w:t>long-term physical, mental, intellectual or sensory impairment(s) which, in interaction with various barriers, may hinder their full and effective participation in a work environment on an</w:t>
      </w:r>
      <w:r w:rsidR="003F04F2" w:rsidRPr="00F73C3A">
        <w:rPr>
          <w:rFonts w:ascii="Calibri" w:hAnsi="Calibri" w:cs="Arial"/>
          <w:color w:val="262626" w:themeColor="text1" w:themeTint="D9"/>
          <w:lang w:eastAsia="en-GB"/>
        </w:rPr>
        <w:t xml:space="preserve"> equal basis with other workers</w:t>
      </w:r>
    </w:p>
    <w:p w:rsidR="00FC02A8" w:rsidRPr="00F73C3A" w:rsidRDefault="00FC02A8" w:rsidP="00FC02A8">
      <w:pPr>
        <w:autoSpaceDE w:val="0"/>
        <w:autoSpaceDN w:val="0"/>
        <w:adjustRightInd w:val="0"/>
        <w:spacing w:after="0"/>
        <w:ind w:firstLine="720"/>
        <w:rPr>
          <w:rFonts w:ascii="Calibri" w:hAnsi="Calibri" w:cs="Arial"/>
          <w:color w:val="262626" w:themeColor="text1" w:themeTint="D9"/>
          <w:lang w:eastAsia="en-GB"/>
        </w:rPr>
      </w:pPr>
    </w:p>
    <w:p w:rsidR="00AE4653" w:rsidRPr="00F73C3A" w:rsidRDefault="003C755C" w:rsidP="00AE4653">
      <w:pPr>
        <w:autoSpaceDE w:val="0"/>
        <w:autoSpaceDN w:val="0"/>
        <w:adjustRightInd w:val="0"/>
        <w:rPr>
          <w:rFonts w:ascii="Calibri" w:hAnsi="Calibri" w:cs="Arial"/>
          <w:color w:val="262626" w:themeColor="text1" w:themeTint="D9"/>
          <w:lang w:eastAsia="en-GB"/>
        </w:rPr>
      </w:pPr>
      <w:r w:rsidRPr="00F73C3A">
        <w:rPr>
          <w:rFonts w:ascii="Calibri" w:hAnsi="Calibri" w:cs="Arial"/>
          <w:b/>
          <w:i/>
          <w:color w:val="262626" w:themeColor="text1" w:themeTint="D9"/>
          <w:lang w:eastAsia="en-GB"/>
        </w:rPr>
        <w:t>C</w:t>
      </w:r>
      <w:r w:rsidR="000D0198" w:rsidRPr="00F73C3A">
        <w:rPr>
          <w:rFonts w:ascii="Calibri" w:hAnsi="Calibri" w:cs="Arial"/>
          <w:b/>
          <w:i/>
          <w:color w:val="262626" w:themeColor="text1" w:themeTint="D9"/>
          <w:lang w:eastAsia="en-GB"/>
        </w:rPr>
        <w:t>ompletion</w:t>
      </w:r>
      <w:r w:rsidRPr="00F73C3A">
        <w:rPr>
          <w:rFonts w:ascii="Calibri" w:hAnsi="Calibri" w:cs="Arial"/>
          <w:b/>
          <w:i/>
          <w:color w:val="262626" w:themeColor="text1" w:themeTint="D9"/>
          <w:lang w:eastAsia="en-GB"/>
        </w:rPr>
        <w:t xml:space="preserve"> of works</w:t>
      </w:r>
      <w:r w:rsidR="00AE4653" w:rsidRPr="00F73C3A">
        <w:rPr>
          <w:rFonts w:ascii="Calibri" w:hAnsi="Calibri" w:cs="Arial"/>
          <w:color w:val="262626" w:themeColor="text1" w:themeTint="D9"/>
          <w:lang w:eastAsia="en-GB"/>
        </w:rPr>
        <w:t xml:space="preserve"> is not defined in EC State Aid law. For the purposes</w:t>
      </w:r>
      <w:r w:rsidR="000D0198" w:rsidRPr="00F73C3A">
        <w:rPr>
          <w:rFonts w:ascii="Calibri" w:hAnsi="Calibri" w:cs="Arial"/>
          <w:color w:val="262626" w:themeColor="text1" w:themeTint="D9"/>
          <w:lang w:eastAsia="en-GB"/>
        </w:rPr>
        <w:t xml:space="preserve"> </w:t>
      </w:r>
      <w:r w:rsidR="00AE4653" w:rsidRPr="00F73C3A">
        <w:rPr>
          <w:rFonts w:ascii="Calibri" w:hAnsi="Calibri" w:cs="Arial"/>
          <w:color w:val="262626" w:themeColor="text1" w:themeTint="D9"/>
          <w:lang w:eastAsia="en-GB"/>
        </w:rPr>
        <w:t xml:space="preserve">of </w:t>
      </w:r>
      <w:r w:rsidR="00612905" w:rsidRPr="00F73C3A">
        <w:rPr>
          <w:rFonts w:ascii="Calibri" w:hAnsi="Calibri" w:cs="Arial"/>
          <w:color w:val="262626" w:themeColor="text1" w:themeTint="D9"/>
          <w:lang w:eastAsia="en-GB"/>
        </w:rPr>
        <w:t>Cumbria Growth Fund</w:t>
      </w:r>
      <w:r w:rsidR="00AE4653" w:rsidRPr="00F73C3A">
        <w:rPr>
          <w:rFonts w:ascii="Calibri" w:hAnsi="Calibri" w:cs="Arial"/>
          <w:color w:val="262626" w:themeColor="text1" w:themeTint="D9"/>
          <w:lang w:eastAsia="en-GB"/>
        </w:rPr>
        <w:t xml:space="preserve"> it is taken to mean the date of mechanical completion of the</w:t>
      </w:r>
      <w:r w:rsidR="000D0198" w:rsidRPr="00F73C3A">
        <w:rPr>
          <w:rFonts w:ascii="Calibri" w:hAnsi="Calibri" w:cs="Arial"/>
          <w:color w:val="262626" w:themeColor="text1" w:themeTint="D9"/>
          <w:lang w:eastAsia="en-GB"/>
        </w:rPr>
        <w:t xml:space="preserve"> </w:t>
      </w:r>
      <w:r w:rsidR="00AE4653" w:rsidRPr="00F73C3A">
        <w:rPr>
          <w:rFonts w:ascii="Calibri" w:hAnsi="Calibri" w:cs="Arial"/>
          <w:color w:val="262626" w:themeColor="text1" w:themeTint="D9"/>
          <w:lang w:eastAsia="en-GB"/>
        </w:rPr>
        <w:t>investment project, or the date that the material assets associated with an</w:t>
      </w:r>
      <w:r w:rsidR="000D0198" w:rsidRPr="00F73C3A">
        <w:rPr>
          <w:rFonts w:ascii="Calibri" w:hAnsi="Calibri" w:cs="Arial"/>
          <w:color w:val="262626" w:themeColor="text1" w:themeTint="D9"/>
          <w:lang w:eastAsia="en-GB"/>
        </w:rPr>
        <w:t xml:space="preserve"> </w:t>
      </w:r>
      <w:r w:rsidR="00AE4653" w:rsidRPr="00F73C3A">
        <w:rPr>
          <w:rFonts w:ascii="Calibri" w:hAnsi="Calibri" w:cs="Arial"/>
          <w:color w:val="262626" w:themeColor="text1" w:themeTint="D9"/>
          <w:lang w:eastAsia="en-GB"/>
        </w:rPr>
        <w:t>investment project become op</w:t>
      </w:r>
      <w:r w:rsidR="003F04F2" w:rsidRPr="00F73C3A">
        <w:rPr>
          <w:rFonts w:ascii="Calibri" w:hAnsi="Calibri" w:cs="Arial"/>
          <w:color w:val="262626" w:themeColor="text1" w:themeTint="D9"/>
          <w:lang w:eastAsia="en-GB"/>
        </w:rPr>
        <w:t>erational, whichever is earlier.</w:t>
      </w:r>
    </w:p>
    <w:p w:rsidR="008E04C5" w:rsidRPr="00F73C3A" w:rsidRDefault="008E04C5" w:rsidP="000A2973">
      <w:pPr>
        <w:autoSpaceDE w:val="0"/>
        <w:autoSpaceDN w:val="0"/>
        <w:adjustRightInd w:val="0"/>
        <w:spacing w:after="0"/>
        <w:rPr>
          <w:rFonts w:ascii="Calibri" w:hAnsi="Calibri" w:cs="Arial"/>
          <w:color w:val="262626" w:themeColor="text1" w:themeTint="D9"/>
          <w:lang w:eastAsia="en-GB"/>
        </w:rPr>
      </w:pPr>
      <w:r w:rsidRPr="00F73C3A">
        <w:rPr>
          <w:rFonts w:ascii="Calibri" w:hAnsi="Calibri" w:cs="Arial"/>
          <w:b/>
          <w:i/>
          <w:color w:val="262626" w:themeColor="text1" w:themeTint="D9"/>
          <w:lang w:eastAsia="en-GB"/>
        </w:rPr>
        <w:t xml:space="preserve">Start of works </w:t>
      </w:r>
      <w:r w:rsidRPr="00F73C3A">
        <w:rPr>
          <w:rFonts w:ascii="Calibri" w:hAnsi="Calibri" w:cs="Arial"/>
          <w:color w:val="262626" w:themeColor="text1" w:themeTint="D9"/>
          <w:lang w:eastAsia="en-GB"/>
        </w:rPr>
        <w:t>means the earlier of either the start of construction works relating to the investment, or the first legally binding commitment to order equipment or any other commitment that makes the investment irre</w:t>
      </w:r>
      <w:r w:rsidR="00F64EB5" w:rsidRPr="00F73C3A">
        <w:rPr>
          <w:rFonts w:ascii="Calibri" w:hAnsi="Calibri" w:cs="Arial"/>
          <w:color w:val="262626" w:themeColor="text1" w:themeTint="D9"/>
          <w:lang w:eastAsia="en-GB"/>
        </w:rPr>
        <w:t>versible. Buying land and prepar</w:t>
      </w:r>
      <w:r w:rsidRPr="00F73C3A">
        <w:rPr>
          <w:rFonts w:ascii="Calibri" w:hAnsi="Calibri" w:cs="Arial"/>
          <w:color w:val="262626" w:themeColor="text1" w:themeTint="D9"/>
          <w:lang w:eastAsia="en-GB"/>
        </w:rPr>
        <w:t>atory works such as obtaining permits and conducting feasibility studies are not considered start of works. For take-overs, ‘start of works’ means the moment of acquiring the assets directly linked to the acquired establishment</w:t>
      </w:r>
      <w:r w:rsidR="008D1799" w:rsidRPr="00F73C3A">
        <w:rPr>
          <w:rFonts w:ascii="Calibri" w:hAnsi="Calibri" w:cs="Arial"/>
          <w:color w:val="262626" w:themeColor="text1" w:themeTint="D9"/>
          <w:lang w:eastAsia="en-GB"/>
        </w:rPr>
        <w:t>.</w:t>
      </w:r>
    </w:p>
    <w:p w:rsidR="008E04C5" w:rsidRPr="00F73C3A" w:rsidRDefault="008E04C5" w:rsidP="000A2973">
      <w:pPr>
        <w:autoSpaceDE w:val="0"/>
        <w:autoSpaceDN w:val="0"/>
        <w:adjustRightInd w:val="0"/>
        <w:spacing w:after="0"/>
        <w:rPr>
          <w:rFonts w:ascii="Calibri" w:hAnsi="Calibri" w:cs="Arial"/>
          <w:color w:val="262626" w:themeColor="text1" w:themeTint="D9"/>
          <w:lang w:eastAsia="en-GB"/>
        </w:rPr>
      </w:pPr>
    </w:p>
    <w:p w:rsidR="00762119" w:rsidRPr="00F73C3A" w:rsidRDefault="00762119" w:rsidP="00762119">
      <w:pPr>
        <w:autoSpaceDE w:val="0"/>
        <w:autoSpaceDN w:val="0"/>
        <w:adjustRightInd w:val="0"/>
        <w:spacing w:after="0"/>
        <w:rPr>
          <w:rFonts w:ascii="Calibri" w:hAnsi="Calibri" w:cs="Arial"/>
          <w:color w:val="262626" w:themeColor="text1" w:themeTint="D9"/>
          <w:lang w:eastAsia="en-GB"/>
        </w:rPr>
      </w:pPr>
      <w:r w:rsidRPr="00F73C3A">
        <w:rPr>
          <w:rFonts w:ascii="Calibri" w:hAnsi="Calibri" w:cs="Arial"/>
          <w:b/>
          <w:i/>
          <w:color w:val="262626" w:themeColor="text1" w:themeTint="D9"/>
          <w:lang w:eastAsia="en-GB"/>
        </w:rPr>
        <w:t xml:space="preserve">Initial investment in favour of new economic activity </w:t>
      </w:r>
      <w:r w:rsidRPr="00F73C3A">
        <w:rPr>
          <w:rFonts w:ascii="Calibri" w:hAnsi="Calibri" w:cs="Arial"/>
          <w:color w:val="262626" w:themeColor="text1" w:themeTint="D9"/>
          <w:lang w:eastAsia="en-GB"/>
        </w:rPr>
        <w:t xml:space="preserve">means: </w:t>
      </w:r>
    </w:p>
    <w:p w:rsidR="00762119" w:rsidRPr="00F73C3A" w:rsidRDefault="00762119" w:rsidP="00F61707">
      <w:pPr>
        <w:pStyle w:val="ListParagraph"/>
        <w:numPr>
          <w:ilvl w:val="0"/>
          <w:numId w:val="32"/>
        </w:numPr>
        <w:autoSpaceDE w:val="0"/>
        <w:autoSpaceDN w:val="0"/>
        <w:adjustRightInd w:val="0"/>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 xml:space="preserve">an investment in tangible and intangible assets related to the setting up of a new establishment, or to the diversification of the activity of an establishment, under the condition that the new activity is not the same or a similar activity to the activity previously </w:t>
      </w:r>
      <w:r w:rsidR="008D1799" w:rsidRPr="00F73C3A">
        <w:rPr>
          <w:rFonts w:ascii="Calibri" w:hAnsi="Calibri" w:cs="Arial"/>
          <w:color w:val="262626" w:themeColor="text1" w:themeTint="D9"/>
          <w:lang w:eastAsia="en-GB"/>
        </w:rPr>
        <w:t>performed in the establishment</w:t>
      </w:r>
    </w:p>
    <w:p w:rsidR="00762119" w:rsidRPr="00F73C3A" w:rsidRDefault="00762119" w:rsidP="00F61707">
      <w:pPr>
        <w:pStyle w:val="ListParagraph"/>
        <w:numPr>
          <w:ilvl w:val="0"/>
          <w:numId w:val="32"/>
        </w:numPr>
        <w:autoSpaceDE w:val="0"/>
        <w:autoSpaceDN w:val="0"/>
        <w:adjustRightInd w:val="0"/>
        <w:spacing w:after="0"/>
        <w:rPr>
          <w:rFonts w:ascii="Calibri" w:hAnsi="Calibri" w:cs="Arial"/>
          <w:color w:val="262626" w:themeColor="text1" w:themeTint="D9"/>
          <w:lang w:eastAsia="en-GB"/>
        </w:rPr>
      </w:pPr>
      <w:r w:rsidRPr="00F73C3A">
        <w:rPr>
          <w:rFonts w:ascii="Calibri" w:hAnsi="Calibri" w:cs="Arial"/>
          <w:color w:val="262626" w:themeColor="text1" w:themeTint="D9"/>
          <w:lang w:eastAsia="en-GB"/>
        </w:rPr>
        <w:t>the acquisition of the assets belonging to an establishment that has closed or would have closed had it not been purchased, and is bought by an investor unrelated to the seller, under the condition that the new activity to be performed using the acquired assets is not the same or a similar activity to the activity performed in the establi</w:t>
      </w:r>
      <w:r w:rsidR="008D1799" w:rsidRPr="00F73C3A">
        <w:rPr>
          <w:rFonts w:ascii="Calibri" w:hAnsi="Calibri" w:cs="Arial"/>
          <w:color w:val="262626" w:themeColor="text1" w:themeTint="D9"/>
          <w:lang w:eastAsia="en-GB"/>
        </w:rPr>
        <w:t>shment prior to the acquisition</w:t>
      </w:r>
    </w:p>
    <w:p w:rsidR="000A2973" w:rsidRPr="00F73C3A" w:rsidRDefault="000A2973" w:rsidP="000A2973">
      <w:pPr>
        <w:autoSpaceDE w:val="0"/>
        <w:autoSpaceDN w:val="0"/>
        <w:adjustRightInd w:val="0"/>
        <w:spacing w:after="0"/>
        <w:ind w:firstLine="720"/>
        <w:rPr>
          <w:rFonts w:ascii="Calibri" w:hAnsi="Calibri" w:cs="Arial"/>
          <w:color w:val="262626" w:themeColor="text1" w:themeTint="D9"/>
          <w:lang w:eastAsia="en-GB"/>
        </w:rPr>
      </w:pPr>
    </w:p>
    <w:p w:rsidR="00A229EB" w:rsidRPr="00F73C3A" w:rsidRDefault="00A229EB" w:rsidP="00A229EB">
      <w:pPr>
        <w:autoSpaceDE w:val="0"/>
        <w:autoSpaceDN w:val="0"/>
        <w:adjustRightInd w:val="0"/>
        <w:rPr>
          <w:rFonts w:ascii="Calibri" w:hAnsi="Calibri" w:cs="Arial"/>
          <w:color w:val="262626" w:themeColor="text1" w:themeTint="D9"/>
          <w:lang w:eastAsia="en-GB"/>
        </w:rPr>
      </w:pPr>
      <w:r w:rsidRPr="00F73C3A">
        <w:rPr>
          <w:rFonts w:ascii="Calibri" w:hAnsi="Calibri" w:cs="Arial"/>
          <w:b/>
          <w:i/>
          <w:color w:val="262626" w:themeColor="text1" w:themeTint="D9"/>
          <w:lang w:eastAsia="en-GB"/>
        </w:rPr>
        <w:t xml:space="preserve">The same of a similar activity </w:t>
      </w:r>
      <w:r w:rsidRPr="00F73C3A">
        <w:rPr>
          <w:rFonts w:ascii="Calibri" w:hAnsi="Calibri" w:cs="Arial"/>
          <w:color w:val="262626" w:themeColor="text1" w:themeTint="D9"/>
          <w:lang w:eastAsia="en-GB"/>
        </w:rPr>
        <w:t xml:space="preserve">means an activity falling under the same class (four digit </w:t>
      </w:r>
      <w:r w:rsidR="008B1C2A" w:rsidRPr="00F73C3A">
        <w:rPr>
          <w:rFonts w:ascii="Calibri" w:hAnsi="Calibri" w:cs="Arial"/>
          <w:color w:val="262626" w:themeColor="text1" w:themeTint="D9"/>
          <w:lang w:eastAsia="en-GB"/>
        </w:rPr>
        <w:t>numerical</w:t>
      </w:r>
      <w:r w:rsidRPr="00F73C3A">
        <w:rPr>
          <w:rFonts w:ascii="Calibri" w:hAnsi="Calibri" w:cs="Arial"/>
          <w:color w:val="262626" w:themeColor="text1" w:themeTint="D9"/>
          <w:lang w:eastAsia="en-GB"/>
        </w:rPr>
        <w:t xml:space="preserve"> code) of the NACE Rev 2 </w:t>
      </w:r>
      <w:r w:rsidR="008B1C2A" w:rsidRPr="00F73C3A">
        <w:rPr>
          <w:rFonts w:ascii="Calibri" w:hAnsi="Calibri" w:cs="Arial"/>
          <w:color w:val="262626" w:themeColor="text1" w:themeTint="D9"/>
          <w:lang w:eastAsia="en-GB"/>
        </w:rPr>
        <w:t>statistical classification</w:t>
      </w:r>
      <w:r w:rsidRPr="00F73C3A">
        <w:rPr>
          <w:rFonts w:ascii="Calibri" w:hAnsi="Calibri" w:cs="Arial"/>
          <w:color w:val="262626" w:themeColor="text1" w:themeTint="D9"/>
          <w:lang w:eastAsia="en-GB"/>
        </w:rPr>
        <w:t xml:space="preserve"> of economic activities as laid down in Regulation (EC) No 1982/2006 of the European Parliament and of the council of 20 December 2006 establishing the statistical </w:t>
      </w:r>
      <w:r w:rsidR="008B1C2A" w:rsidRPr="00F73C3A">
        <w:rPr>
          <w:rFonts w:ascii="Calibri" w:hAnsi="Calibri" w:cs="Arial"/>
          <w:color w:val="262626" w:themeColor="text1" w:themeTint="D9"/>
          <w:lang w:eastAsia="en-GB"/>
        </w:rPr>
        <w:t>classification</w:t>
      </w:r>
      <w:r w:rsidRPr="00F73C3A">
        <w:rPr>
          <w:rFonts w:ascii="Calibri" w:hAnsi="Calibri" w:cs="Arial"/>
          <w:color w:val="262626" w:themeColor="text1" w:themeTint="D9"/>
          <w:lang w:eastAsia="en-GB"/>
        </w:rPr>
        <w:t xml:space="preserve"> of economic activities NAVE Revision 2 and amending council regulation (EEC) No 3037/90 as well as certain EC regulations on specific statistical domains. The NACE codes can be found at:</w:t>
      </w:r>
    </w:p>
    <w:p w:rsidR="00ED11CE" w:rsidRPr="004F4EE7" w:rsidRDefault="00F73C3A" w:rsidP="008D1799">
      <w:pPr>
        <w:autoSpaceDE w:val="0"/>
        <w:autoSpaceDN w:val="0"/>
        <w:adjustRightInd w:val="0"/>
        <w:spacing w:after="0"/>
        <w:rPr>
          <w:rFonts w:ascii="Calibri" w:hAnsi="Calibri" w:cs="Arial"/>
          <w:color w:val="000000"/>
          <w:lang w:eastAsia="en-GB"/>
        </w:rPr>
      </w:pPr>
      <w:hyperlink r:id="rId20" w:history="1">
        <w:r w:rsidR="008D1799" w:rsidRPr="004F4EE7">
          <w:rPr>
            <w:rStyle w:val="Hyperlink"/>
            <w:rFonts w:ascii="Calibri" w:hAnsi="Calibri" w:cs="Arial"/>
            <w:lang w:eastAsia="en-GB"/>
          </w:rPr>
          <w:t>http://eur-lex.europa.eu/legal-content/EN/TXT/PDF/?uri=CELEX:32006R1893&amp;from=EN</w:t>
        </w:r>
      </w:hyperlink>
    </w:p>
    <w:p w:rsidR="00A229EB" w:rsidRPr="004F4EE7" w:rsidRDefault="00A229EB" w:rsidP="00A229EB">
      <w:pPr>
        <w:autoSpaceDE w:val="0"/>
        <w:autoSpaceDN w:val="0"/>
        <w:adjustRightInd w:val="0"/>
        <w:spacing w:after="0"/>
        <w:ind w:firstLine="720"/>
        <w:rPr>
          <w:rFonts w:ascii="Calibri" w:hAnsi="Calibri" w:cs="Arial"/>
          <w:color w:val="000000"/>
          <w:lang w:eastAsia="en-GB"/>
        </w:rPr>
      </w:pPr>
    </w:p>
    <w:p w:rsidR="00AE4653" w:rsidRPr="004F4EE7" w:rsidRDefault="000D0198" w:rsidP="00AE4653">
      <w:pPr>
        <w:autoSpaceDE w:val="0"/>
        <w:autoSpaceDN w:val="0"/>
        <w:adjustRightInd w:val="0"/>
        <w:rPr>
          <w:rFonts w:ascii="Calibri" w:hAnsi="Calibri" w:cs="Arial"/>
          <w:color w:val="595959" w:themeColor="text1" w:themeTint="A6"/>
          <w:lang w:eastAsia="en-GB"/>
        </w:rPr>
      </w:pPr>
      <w:r w:rsidRPr="004F4EE7">
        <w:rPr>
          <w:rFonts w:ascii="Calibri" w:hAnsi="Calibri" w:cs="Arial"/>
          <w:b/>
          <w:i/>
          <w:color w:val="595959" w:themeColor="text1" w:themeTint="A6"/>
          <w:lang w:eastAsia="en-GB"/>
        </w:rPr>
        <w:t>A</w:t>
      </w:r>
      <w:r w:rsidR="00AE4653" w:rsidRPr="004F4EE7">
        <w:rPr>
          <w:rFonts w:ascii="Calibri" w:hAnsi="Calibri" w:cs="Arial"/>
          <w:b/>
          <w:i/>
          <w:color w:val="595959" w:themeColor="text1" w:themeTint="A6"/>
          <w:lang w:eastAsia="en-GB"/>
        </w:rPr>
        <w:t>gricultural product</w:t>
      </w:r>
      <w:r w:rsidR="00AE4653" w:rsidRPr="004F4EE7">
        <w:rPr>
          <w:rFonts w:ascii="Calibri" w:hAnsi="Calibri" w:cs="Arial"/>
          <w:color w:val="595959" w:themeColor="text1" w:themeTint="A6"/>
          <w:lang w:eastAsia="en-GB"/>
        </w:rPr>
        <w:t xml:space="preserve"> means:</w:t>
      </w:r>
    </w:p>
    <w:p w:rsidR="00AE4653" w:rsidRPr="004F4EE7" w:rsidRDefault="00AE4653" w:rsidP="00F61707">
      <w:pPr>
        <w:pStyle w:val="ListParagraph"/>
        <w:numPr>
          <w:ilvl w:val="0"/>
          <w:numId w:val="33"/>
        </w:numPr>
        <w:autoSpaceDE w:val="0"/>
        <w:autoSpaceDN w:val="0"/>
        <w:adjustRightInd w:val="0"/>
        <w:rPr>
          <w:rFonts w:ascii="Calibri" w:hAnsi="Calibri" w:cs="Arial"/>
          <w:color w:val="595959" w:themeColor="text1" w:themeTint="A6"/>
          <w:lang w:eastAsia="en-GB"/>
        </w:rPr>
      </w:pPr>
      <w:r w:rsidRPr="004F4EE7">
        <w:rPr>
          <w:rFonts w:ascii="Calibri" w:hAnsi="Calibri" w:cs="Arial"/>
          <w:color w:val="595959" w:themeColor="text1" w:themeTint="A6"/>
          <w:lang w:eastAsia="en-GB"/>
        </w:rPr>
        <w:t>the products listed in Annex I of the Treaty, except fishery and</w:t>
      </w:r>
      <w:r w:rsidR="000D0198" w:rsidRPr="004F4EE7">
        <w:rPr>
          <w:rFonts w:ascii="Calibri" w:hAnsi="Calibri" w:cs="Arial"/>
          <w:color w:val="595959" w:themeColor="text1" w:themeTint="A6"/>
          <w:lang w:eastAsia="en-GB"/>
        </w:rPr>
        <w:t xml:space="preserve"> </w:t>
      </w:r>
      <w:r w:rsidRPr="004F4EE7">
        <w:rPr>
          <w:rFonts w:ascii="Calibri" w:hAnsi="Calibri" w:cs="Arial"/>
          <w:color w:val="595959" w:themeColor="text1" w:themeTint="A6"/>
          <w:lang w:eastAsia="en-GB"/>
        </w:rPr>
        <w:t>aquaculture products covered</w:t>
      </w:r>
      <w:r w:rsidR="008D405B" w:rsidRPr="004F4EE7">
        <w:rPr>
          <w:rFonts w:ascii="Calibri" w:hAnsi="Calibri" w:cs="Arial"/>
          <w:color w:val="595959" w:themeColor="text1" w:themeTint="A6"/>
          <w:lang w:eastAsia="en-GB"/>
        </w:rPr>
        <w:t xml:space="preserve"> by Regulation (EC) No 104/2000</w:t>
      </w:r>
    </w:p>
    <w:p w:rsidR="00AE4653" w:rsidRPr="004F4EE7" w:rsidRDefault="00AE4653" w:rsidP="00F61707">
      <w:pPr>
        <w:pStyle w:val="ListParagraph"/>
        <w:numPr>
          <w:ilvl w:val="0"/>
          <w:numId w:val="33"/>
        </w:numPr>
        <w:autoSpaceDE w:val="0"/>
        <w:autoSpaceDN w:val="0"/>
        <w:adjustRightInd w:val="0"/>
        <w:rPr>
          <w:rFonts w:ascii="Calibri" w:hAnsi="Calibri" w:cs="Arial"/>
          <w:color w:val="595959" w:themeColor="text1" w:themeTint="A6"/>
          <w:lang w:eastAsia="en-GB"/>
        </w:rPr>
      </w:pPr>
      <w:r w:rsidRPr="004F4EE7">
        <w:rPr>
          <w:rFonts w:ascii="Calibri" w:hAnsi="Calibri" w:cs="Arial"/>
          <w:color w:val="595959" w:themeColor="text1" w:themeTint="A6"/>
          <w:lang w:eastAsia="en-GB"/>
        </w:rPr>
        <w:t>products falling under Council Note codes 4502, 4503 and 4504 (cork</w:t>
      </w:r>
      <w:r w:rsidR="000D0198" w:rsidRPr="004F4EE7">
        <w:rPr>
          <w:rFonts w:ascii="Calibri" w:hAnsi="Calibri" w:cs="Arial"/>
          <w:color w:val="595959" w:themeColor="text1" w:themeTint="A6"/>
          <w:lang w:eastAsia="en-GB"/>
        </w:rPr>
        <w:t xml:space="preserve"> </w:t>
      </w:r>
      <w:r w:rsidR="008D405B" w:rsidRPr="004F4EE7">
        <w:rPr>
          <w:rFonts w:ascii="Calibri" w:hAnsi="Calibri" w:cs="Arial"/>
          <w:color w:val="595959" w:themeColor="text1" w:themeTint="A6"/>
          <w:lang w:eastAsia="en-GB"/>
        </w:rPr>
        <w:t>products)</w:t>
      </w:r>
    </w:p>
    <w:p w:rsidR="000D0198" w:rsidRPr="004F4EE7" w:rsidRDefault="00AE4653" w:rsidP="00F61707">
      <w:pPr>
        <w:pStyle w:val="ListParagraph"/>
        <w:numPr>
          <w:ilvl w:val="0"/>
          <w:numId w:val="33"/>
        </w:numPr>
        <w:autoSpaceDE w:val="0"/>
        <w:autoSpaceDN w:val="0"/>
        <w:adjustRightInd w:val="0"/>
        <w:rPr>
          <w:rFonts w:ascii="Calibri" w:hAnsi="Calibri" w:cs="Arial"/>
          <w:color w:val="595959" w:themeColor="text1" w:themeTint="A6"/>
          <w:lang w:eastAsia="en-GB"/>
        </w:rPr>
      </w:pPr>
      <w:r w:rsidRPr="004F4EE7">
        <w:rPr>
          <w:rFonts w:ascii="Calibri" w:hAnsi="Calibri" w:cs="Arial"/>
          <w:color w:val="595959" w:themeColor="text1" w:themeTint="A6"/>
          <w:lang w:eastAsia="en-GB"/>
        </w:rPr>
        <w:t>products intended to imitate or substitute milk and milk products, as</w:t>
      </w:r>
      <w:r w:rsidR="000D0198" w:rsidRPr="004F4EE7">
        <w:rPr>
          <w:rFonts w:ascii="Calibri" w:hAnsi="Calibri" w:cs="Arial"/>
          <w:color w:val="595959" w:themeColor="text1" w:themeTint="A6"/>
          <w:lang w:eastAsia="en-GB"/>
        </w:rPr>
        <w:t xml:space="preserve"> </w:t>
      </w:r>
      <w:r w:rsidRPr="004F4EE7">
        <w:rPr>
          <w:rFonts w:ascii="Calibri" w:hAnsi="Calibri" w:cs="Arial"/>
          <w:color w:val="595959" w:themeColor="text1" w:themeTint="A6"/>
          <w:lang w:eastAsia="en-GB"/>
        </w:rPr>
        <w:t>referred to in Counci</w:t>
      </w:r>
      <w:r w:rsidR="008D405B" w:rsidRPr="004F4EE7">
        <w:rPr>
          <w:rFonts w:ascii="Calibri" w:hAnsi="Calibri" w:cs="Arial"/>
          <w:color w:val="595959" w:themeColor="text1" w:themeTint="A6"/>
          <w:lang w:eastAsia="en-GB"/>
        </w:rPr>
        <w:t>l Regulation (EEC) No 1234/2007</w:t>
      </w:r>
      <w:r w:rsidR="000D0198" w:rsidRPr="004F4EE7">
        <w:rPr>
          <w:rFonts w:ascii="Calibri" w:hAnsi="Calibri" w:cs="Arial"/>
          <w:color w:val="595959" w:themeColor="text1" w:themeTint="A6"/>
          <w:lang w:eastAsia="en-GB"/>
        </w:rPr>
        <w:t xml:space="preserve"> </w:t>
      </w:r>
    </w:p>
    <w:p w:rsidR="00C93FD2" w:rsidRPr="004F4EE7" w:rsidRDefault="00AE4653" w:rsidP="00AE4653">
      <w:pPr>
        <w:autoSpaceDE w:val="0"/>
        <w:autoSpaceDN w:val="0"/>
        <w:adjustRightInd w:val="0"/>
        <w:rPr>
          <w:rFonts w:ascii="Calibri" w:hAnsi="Calibri" w:cs="Arial"/>
          <w:color w:val="595959" w:themeColor="text1" w:themeTint="A6"/>
          <w:lang w:eastAsia="en-GB"/>
        </w:rPr>
      </w:pPr>
      <w:r w:rsidRPr="004F4EE7">
        <w:rPr>
          <w:rFonts w:ascii="Calibri" w:hAnsi="Calibri" w:cs="Arial"/>
          <w:color w:val="595959" w:themeColor="text1" w:themeTint="A6"/>
          <w:lang w:eastAsia="en-GB"/>
        </w:rPr>
        <w:t xml:space="preserve">Annex I of the Treaty is reproduced in Annex </w:t>
      </w:r>
      <w:r w:rsidR="000D0198" w:rsidRPr="004F4EE7">
        <w:rPr>
          <w:rFonts w:ascii="Calibri" w:hAnsi="Calibri" w:cs="Arial"/>
          <w:color w:val="595959" w:themeColor="text1" w:themeTint="A6"/>
          <w:lang w:eastAsia="en-GB"/>
        </w:rPr>
        <w:t>B</w:t>
      </w:r>
      <w:r w:rsidRPr="004F4EE7">
        <w:rPr>
          <w:rFonts w:ascii="Calibri" w:hAnsi="Calibri" w:cs="Arial"/>
          <w:color w:val="595959" w:themeColor="text1" w:themeTint="A6"/>
          <w:lang w:eastAsia="en-GB"/>
        </w:rPr>
        <w:t>.</w:t>
      </w:r>
    </w:p>
    <w:p w:rsidR="00F96BEB" w:rsidRPr="004F4EE7" w:rsidRDefault="00F96BEB" w:rsidP="00F96BEB">
      <w:pPr>
        <w:autoSpaceDE w:val="0"/>
        <w:autoSpaceDN w:val="0"/>
        <w:adjustRightInd w:val="0"/>
        <w:rPr>
          <w:rFonts w:ascii="Calibri" w:hAnsi="Calibri" w:cs="Arial"/>
          <w:color w:val="595959" w:themeColor="text1" w:themeTint="A6"/>
          <w:lang w:eastAsia="en-GB"/>
        </w:rPr>
      </w:pPr>
      <w:r w:rsidRPr="004F4EE7">
        <w:rPr>
          <w:rFonts w:ascii="Calibri" w:hAnsi="Calibri" w:cs="Arial"/>
          <w:b/>
          <w:i/>
          <w:color w:val="595959" w:themeColor="text1" w:themeTint="A6"/>
          <w:lang w:eastAsia="en-GB"/>
        </w:rPr>
        <w:t xml:space="preserve">Primary agricultural production </w:t>
      </w:r>
      <w:r w:rsidRPr="004F4EE7">
        <w:rPr>
          <w:rFonts w:ascii="Calibri" w:hAnsi="Calibri" w:cs="Arial"/>
          <w:color w:val="595959" w:themeColor="text1" w:themeTint="A6"/>
          <w:lang w:eastAsia="en-GB"/>
        </w:rPr>
        <w:t>means production of products of the soil and of stock farming, listed in Annex to the Treaty, without performing any further operation changing the nature of such products.</w:t>
      </w:r>
    </w:p>
    <w:p w:rsidR="00AE4653" w:rsidRPr="004F4EE7" w:rsidRDefault="000D0198" w:rsidP="00AE4653">
      <w:pPr>
        <w:autoSpaceDE w:val="0"/>
        <w:autoSpaceDN w:val="0"/>
        <w:adjustRightInd w:val="0"/>
        <w:rPr>
          <w:rFonts w:ascii="Calibri" w:hAnsi="Calibri" w:cs="Arial"/>
          <w:color w:val="595959" w:themeColor="text1" w:themeTint="A6"/>
          <w:lang w:eastAsia="en-GB"/>
        </w:rPr>
      </w:pPr>
      <w:r w:rsidRPr="004F4EE7">
        <w:rPr>
          <w:rFonts w:ascii="Calibri" w:hAnsi="Calibri" w:cs="Arial"/>
          <w:b/>
          <w:i/>
          <w:color w:val="595959" w:themeColor="text1" w:themeTint="A6"/>
          <w:lang w:eastAsia="en-GB"/>
        </w:rPr>
        <w:t>P</w:t>
      </w:r>
      <w:r w:rsidR="00AE4653" w:rsidRPr="004F4EE7">
        <w:rPr>
          <w:rFonts w:ascii="Calibri" w:hAnsi="Calibri" w:cs="Arial"/>
          <w:b/>
          <w:i/>
          <w:color w:val="595959" w:themeColor="text1" w:themeTint="A6"/>
          <w:lang w:eastAsia="en-GB"/>
        </w:rPr>
        <w:t>roc</w:t>
      </w:r>
      <w:r w:rsidRPr="004F4EE7">
        <w:rPr>
          <w:rFonts w:ascii="Calibri" w:hAnsi="Calibri" w:cs="Arial"/>
          <w:b/>
          <w:i/>
          <w:color w:val="595959" w:themeColor="text1" w:themeTint="A6"/>
          <w:lang w:eastAsia="en-GB"/>
        </w:rPr>
        <w:t>essing of agricultural products</w:t>
      </w:r>
      <w:r w:rsidR="00AE4653" w:rsidRPr="004F4EE7">
        <w:rPr>
          <w:rFonts w:ascii="Calibri" w:hAnsi="Calibri" w:cs="Arial"/>
          <w:color w:val="595959" w:themeColor="text1" w:themeTint="A6"/>
          <w:lang w:eastAsia="en-GB"/>
        </w:rPr>
        <w:t xml:space="preserve"> means any operation on an</w:t>
      </w:r>
      <w:r w:rsidRPr="004F4EE7">
        <w:rPr>
          <w:rFonts w:ascii="Calibri" w:hAnsi="Calibri" w:cs="Arial"/>
          <w:color w:val="595959" w:themeColor="text1" w:themeTint="A6"/>
          <w:lang w:eastAsia="en-GB"/>
        </w:rPr>
        <w:t xml:space="preserve"> </w:t>
      </w:r>
      <w:r w:rsidR="00AE4653" w:rsidRPr="004F4EE7">
        <w:rPr>
          <w:rFonts w:ascii="Calibri" w:hAnsi="Calibri" w:cs="Arial"/>
          <w:color w:val="595959" w:themeColor="text1" w:themeTint="A6"/>
          <w:lang w:eastAsia="en-GB"/>
        </w:rPr>
        <w:t>agricultural product resulting in a product which is also an agricultural</w:t>
      </w:r>
      <w:r w:rsidRPr="004F4EE7">
        <w:rPr>
          <w:rFonts w:ascii="Calibri" w:hAnsi="Calibri" w:cs="Arial"/>
          <w:color w:val="595959" w:themeColor="text1" w:themeTint="A6"/>
          <w:lang w:eastAsia="en-GB"/>
        </w:rPr>
        <w:t xml:space="preserve"> </w:t>
      </w:r>
      <w:r w:rsidR="00AE4653" w:rsidRPr="004F4EE7">
        <w:rPr>
          <w:rFonts w:ascii="Calibri" w:hAnsi="Calibri" w:cs="Arial"/>
          <w:color w:val="595959" w:themeColor="text1" w:themeTint="A6"/>
          <w:lang w:eastAsia="en-GB"/>
        </w:rPr>
        <w:t>product, except on-farm activities necessary for preparing an animal or</w:t>
      </w:r>
      <w:r w:rsidRPr="004F4EE7">
        <w:rPr>
          <w:rFonts w:ascii="Calibri" w:hAnsi="Calibri" w:cs="Arial"/>
          <w:color w:val="595959" w:themeColor="text1" w:themeTint="A6"/>
          <w:lang w:eastAsia="en-GB"/>
        </w:rPr>
        <w:t xml:space="preserve"> </w:t>
      </w:r>
      <w:r w:rsidR="00AE4653" w:rsidRPr="004F4EE7">
        <w:rPr>
          <w:rFonts w:ascii="Calibri" w:hAnsi="Calibri" w:cs="Arial"/>
          <w:color w:val="595959" w:themeColor="text1" w:themeTint="A6"/>
          <w:lang w:eastAsia="en-GB"/>
        </w:rPr>
        <w:t>p</w:t>
      </w:r>
      <w:r w:rsidR="008D405B" w:rsidRPr="004F4EE7">
        <w:rPr>
          <w:rFonts w:ascii="Calibri" w:hAnsi="Calibri" w:cs="Arial"/>
          <w:color w:val="595959" w:themeColor="text1" w:themeTint="A6"/>
          <w:lang w:eastAsia="en-GB"/>
        </w:rPr>
        <w:t>lant product for the first sale.</w:t>
      </w:r>
    </w:p>
    <w:p w:rsidR="00AE4653" w:rsidRPr="004F4EE7" w:rsidRDefault="000D0198" w:rsidP="00AE4653">
      <w:pPr>
        <w:autoSpaceDE w:val="0"/>
        <w:autoSpaceDN w:val="0"/>
        <w:adjustRightInd w:val="0"/>
        <w:rPr>
          <w:rFonts w:ascii="Calibri" w:hAnsi="Calibri" w:cs="Arial"/>
          <w:color w:val="595959" w:themeColor="text1" w:themeTint="A6"/>
          <w:lang w:eastAsia="en-GB"/>
        </w:rPr>
      </w:pPr>
      <w:r w:rsidRPr="004F4EE7">
        <w:rPr>
          <w:rFonts w:ascii="Calibri" w:hAnsi="Calibri" w:cs="Arial"/>
          <w:b/>
          <w:i/>
          <w:color w:val="595959" w:themeColor="text1" w:themeTint="A6"/>
          <w:lang w:eastAsia="en-GB"/>
        </w:rPr>
        <w:t>M</w:t>
      </w:r>
      <w:r w:rsidR="00AE4653" w:rsidRPr="004F4EE7">
        <w:rPr>
          <w:rFonts w:ascii="Calibri" w:hAnsi="Calibri" w:cs="Arial"/>
          <w:b/>
          <w:i/>
          <w:color w:val="595959" w:themeColor="text1" w:themeTint="A6"/>
          <w:lang w:eastAsia="en-GB"/>
        </w:rPr>
        <w:t>ar</w:t>
      </w:r>
      <w:r w:rsidR="00E55B99" w:rsidRPr="004F4EE7">
        <w:rPr>
          <w:rFonts w:ascii="Calibri" w:hAnsi="Calibri" w:cs="Arial"/>
          <w:b/>
          <w:i/>
          <w:color w:val="595959" w:themeColor="text1" w:themeTint="A6"/>
          <w:lang w:eastAsia="en-GB"/>
        </w:rPr>
        <w:t>ketin</w:t>
      </w:r>
      <w:r w:rsidRPr="004F4EE7">
        <w:rPr>
          <w:rFonts w:ascii="Calibri" w:hAnsi="Calibri" w:cs="Arial"/>
          <w:b/>
          <w:i/>
          <w:color w:val="595959" w:themeColor="text1" w:themeTint="A6"/>
          <w:lang w:eastAsia="en-GB"/>
        </w:rPr>
        <w:t>g of agricultural products</w:t>
      </w:r>
      <w:r w:rsidR="00AE4653" w:rsidRPr="004F4EE7">
        <w:rPr>
          <w:rFonts w:ascii="Calibri" w:hAnsi="Calibri" w:cs="Arial"/>
          <w:color w:val="595959" w:themeColor="text1" w:themeTint="A6"/>
          <w:lang w:eastAsia="en-GB"/>
        </w:rPr>
        <w:t xml:space="preserve"> means holding or display with a</w:t>
      </w:r>
      <w:r w:rsidRPr="004F4EE7">
        <w:rPr>
          <w:rFonts w:ascii="Calibri" w:hAnsi="Calibri" w:cs="Arial"/>
          <w:color w:val="595959" w:themeColor="text1" w:themeTint="A6"/>
          <w:lang w:eastAsia="en-GB"/>
        </w:rPr>
        <w:t xml:space="preserve"> </w:t>
      </w:r>
      <w:r w:rsidR="00AE4653" w:rsidRPr="004F4EE7">
        <w:rPr>
          <w:rFonts w:ascii="Calibri" w:hAnsi="Calibri" w:cs="Arial"/>
          <w:color w:val="595959" w:themeColor="text1" w:themeTint="A6"/>
          <w:lang w:eastAsia="en-GB"/>
        </w:rPr>
        <w:t>view to sale, offering for sale, delivery or any other manner of placing</w:t>
      </w:r>
      <w:r w:rsidRPr="004F4EE7">
        <w:rPr>
          <w:rFonts w:ascii="Calibri" w:hAnsi="Calibri" w:cs="Arial"/>
          <w:color w:val="595959" w:themeColor="text1" w:themeTint="A6"/>
          <w:lang w:eastAsia="en-GB"/>
        </w:rPr>
        <w:t xml:space="preserve"> </w:t>
      </w:r>
      <w:r w:rsidR="00AE4653" w:rsidRPr="004F4EE7">
        <w:rPr>
          <w:rFonts w:ascii="Calibri" w:hAnsi="Calibri" w:cs="Arial"/>
          <w:color w:val="595959" w:themeColor="text1" w:themeTint="A6"/>
          <w:lang w:eastAsia="en-GB"/>
        </w:rPr>
        <w:t>on the market, except the first sale by a primary producer to resellers</w:t>
      </w:r>
      <w:r w:rsidRPr="004F4EE7">
        <w:rPr>
          <w:rFonts w:ascii="Calibri" w:hAnsi="Calibri" w:cs="Arial"/>
          <w:color w:val="595959" w:themeColor="text1" w:themeTint="A6"/>
          <w:lang w:eastAsia="en-GB"/>
        </w:rPr>
        <w:t xml:space="preserve"> </w:t>
      </w:r>
      <w:r w:rsidR="00AE4653" w:rsidRPr="004F4EE7">
        <w:rPr>
          <w:rFonts w:ascii="Calibri" w:hAnsi="Calibri" w:cs="Arial"/>
          <w:color w:val="595959" w:themeColor="text1" w:themeTint="A6"/>
          <w:lang w:eastAsia="en-GB"/>
        </w:rPr>
        <w:t>or processors and any activity preparing a product for such first sale</w:t>
      </w:r>
      <w:r w:rsidR="008D405B" w:rsidRPr="004F4EE7">
        <w:rPr>
          <w:rFonts w:ascii="Calibri" w:hAnsi="Calibri" w:cs="Arial"/>
          <w:color w:val="595959" w:themeColor="text1" w:themeTint="A6"/>
          <w:lang w:eastAsia="en-GB"/>
        </w:rPr>
        <w:t>. A</w:t>
      </w:r>
      <w:r w:rsidRPr="004F4EE7">
        <w:rPr>
          <w:rFonts w:ascii="Calibri" w:hAnsi="Calibri" w:cs="Arial"/>
          <w:color w:val="595959" w:themeColor="text1" w:themeTint="A6"/>
          <w:lang w:eastAsia="en-GB"/>
        </w:rPr>
        <w:t xml:space="preserve"> </w:t>
      </w:r>
      <w:r w:rsidR="00AE4653" w:rsidRPr="004F4EE7">
        <w:rPr>
          <w:rFonts w:ascii="Calibri" w:hAnsi="Calibri" w:cs="Arial"/>
          <w:color w:val="595959" w:themeColor="text1" w:themeTint="A6"/>
          <w:lang w:eastAsia="en-GB"/>
        </w:rPr>
        <w:t>sale by a primary producer to final consumers shall be considered as</w:t>
      </w:r>
      <w:r w:rsidRPr="004F4EE7">
        <w:rPr>
          <w:rFonts w:ascii="Calibri" w:hAnsi="Calibri" w:cs="Arial"/>
          <w:color w:val="595959" w:themeColor="text1" w:themeTint="A6"/>
          <w:lang w:eastAsia="en-GB"/>
        </w:rPr>
        <w:t xml:space="preserve"> </w:t>
      </w:r>
      <w:r w:rsidR="00AE4653" w:rsidRPr="004F4EE7">
        <w:rPr>
          <w:rFonts w:ascii="Calibri" w:hAnsi="Calibri" w:cs="Arial"/>
          <w:color w:val="595959" w:themeColor="text1" w:themeTint="A6"/>
          <w:lang w:eastAsia="en-GB"/>
        </w:rPr>
        <w:t>marketing if it takes place in separate pre</w:t>
      </w:r>
      <w:r w:rsidR="008D405B" w:rsidRPr="004F4EE7">
        <w:rPr>
          <w:rFonts w:ascii="Calibri" w:hAnsi="Calibri" w:cs="Arial"/>
          <w:color w:val="595959" w:themeColor="text1" w:themeTint="A6"/>
          <w:lang w:eastAsia="en-GB"/>
        </w:rPr>
        <w:t>mises reserved for that purpose.</w:t>
      </w:r>
    </w:p>
    <w:p w:rsidR="00AE4653" w:rsidRPr="004F4EE7" w:rsidRDefault="000D0198" w:rsidP="00AE4653">
      <w:pPr>
        <w:autoSpaceDE w:val="0"/>
        <w:autoSpaceDN w:val="0"/>
        <w:adjustRightInd w:val="0"/>
        <w:rPr>
          <w:rFonts w:ascii="Calibri" w:hAnsi="Calibri" w:cs="Arial"/>
          <w:color w:val="595959" w:themeColor="text1" w:themeTint="A6"/>
          <w:lang w:eastAsia="en-GB"/>
        </w:rPr>
      </w:pPr>
      <w:r w:rsidRPr="004F4EE7">
        <w:rPr>
          <w:rFonts w:ascii="Calibri" w:hAnsi="Calibri" w:cs="Arial"/>
          <w:b/>
          <w:i/>
          <w:color w:val="595959" w:themeColor="text1" w:themeTint="A6"/>
          <w:lang w:eastAsia="en-GB"/>
        </w:rPr>
        <w:lastRenderedPageBreak/>
        <w:t>C</w:t>
      </w:r>
      <w:r w:rsidR="00AE4653" w:rsidRPr="004F4EE7">
        <w:rPr>
          <w:rFonts w:ascii="Calibri" w:hAnsi="Calibri" w:cs="Arial"/>
          <w:b/>
          <w:i/>
          <w:color w:val="595959" w:themeColor="text1" w:themeTint="A6"/>
          <w:lang w:eastAsia="en-GB"/>
        </w:rPr>
        <w:t>oal sector</w:t>
      </w:r>
      <w:r w:rsidR="00AE4653" w:rsidRPr="004F4EE7">
        <w:rPr>
          <w:rFonts w:ascii="Calibri" w:hAnsi="Calibri" w:cs="Arial"/>
          <w:color w:val="595959" w:themeColor="text1" w:themeTint="A6"/>
          <w:lang w:eastAsia="en-GB"/>
        </w:rPr>
        <w:t xml:space="preserve"> means undertakings which carry out an activity in connection</w:t>
      </w:r>
      <w:r w:rsidRPr="004F4EE7">
        <w:rPr>
          <w:rFonts w:ascii="Calibri" w:hAnsi="Calibri" w:cs="Arial"/>
          <w:color w:val="595959" w:themeColor="text1" w:themeTint="A6"/>
          <w:lang w:eastAsia="en-GB"/>
        </w:rPr>
        <w:t xml:space="preserve"> </w:t>
      </w:r>
      <w:r w:rsidR="00AE4653" w:rsidRPr="004F4EE7">
        <w:rPr>
          <w:rFonts w:ascii="Calibri" w:hAnsi="Calibri" w:cs="Arial"/>
          <w:color w:val="595959" w:themeColor="text1" w:themeTint="A6"/>
          <w:lang w:eastAsia="en-GB"/>
        </w:rPr>
        <w:t>with coal production where ‘coal’ is defined as high-grade, medium</w:t>
      </w:r>
      <w:r w:rsidR="00DC57EB" w:rsidRPr="004F4EE7">
        <w:rPr>
          <w:rFonts w:ascii="Calibri" w:hAnsi="Calibri" w:cs="Arial"/>
          <w:color w:val="595959" w:themeColor="text1" w:themeTint="A6"/>
          <w:lang w:eastAsia="en-GB"/>
        </w:rPr>
        <w:t>-</w:t>
      </w:r>
      <w:r w:rsidR="00AE4653" w:rsidRPr="004F4EE7">
        <w:rPr>
          <w:rFonts w:ascii="Calibri" w:hAnsi="Calibri" w:cs="Arial"/>
          <w:color w:val="595959" w:themeColor="text1" w:themeTint="A6"/>
          <w:lang w:eastAsia="en-GB"/>
        </w:rPr>
        <w:t>grade</w:t>
      </w:r>
      <w:r w:rsidRPr="004F4EE7">
        <w:rPr>
          <w:rFonts w:ascii="Calibri" w:hAnsi="Calibri" w:cs="Arial"/>
          <w:color w:val="595959" w:themeColor="text1" w:themeTint="A6"/>
          <w:lang w:eastAsia="en-GB"/>
        </w:rPr>
        <w:t xml:space="preserve"> </w:t>
      </w:r>
      <w:r w:rsidR="00AE4653" w:rsidRPr="004F4EE7">
        <w:rPr>
          <w:rFonts w:ascii="Calibri" w:hAnsi="Calibri" w:cs="Arial"/>
          <w:color w:val="595959" w:themeColor="text1" w:themeTint="A6"/>
          <w:lang w:eastAsia="en-GB"/>
        </w:rPr>
        <w:t>and low-grade category A and B coal within the meaning of the</w:t>
      </w:r>
      <w:r w:rsidRPr="004F4EE7">
        <w:rPr>
          <w:rFonts w:ascii="Calibri" w:hAnsi="Calibri" w:cs="Arial"/>
          <w:color w:val="595959" w:themeColor="text1" w:themeTint="A6"/>
          <w:lang w:eastAsia="en-GB"/>
        </w:rPr>
        <w:t xml:space="preserve"> </w:t>
      </w:r>
      <w:r w:rsidR="00AE4653" w:rsidRPr="004F4EE7">
        <w:rPr>
          <w:rFonts w:ascii="Calibri" w:hAnsi="Calibri" w:cs="Arial"/>
          <w:color w:val="595959" w:themeColor="text1" w:themeTint="A6"/>
          <w:lang w:eastAsia="en-GB"/>
        </w:rPr>
        <w:t>international codification system for coal laid down by the United Nations</w:t>
      </w:r>
      <w:r w:rsidRPr="004F4EE7">
        <w:rPr>
          <w:rFonts w:ascii="Calibri" w:hAnsi="Calibri" w:cs="Arial"/>
          <w:color w:val="595959" w:themeColor="text1" w:themeTint="A6"/>
          <w:lang w:eastAsia="en-GB"/>
        </w:rPr>
        <w:t xml:space="preserve"> </w:t>
      </w:r>
      <w:r w:rsidR="00AE4653" w:rsidRPr="004F4EE7">
        <w:rPr>
          <w:rFonts w:ascii="Calibri" w:hAnsi="Calibri" w:cs="Arial"/>
          <w:color w:val="595959" w:themeColor="text1" w:themeTint="A6"/>
          <w:lang w:eastAsia="en-GB"/>
        </w:rPr>
        <w:t>Econo</w:t>
      </w:r>
      <w:r w:rsidR="008D405B" w:rsidRPr="004F4EE7">
        <w:rPr>
          <w:rFonts w:ascii="Calibri" w:hAnsi="Calibri" w:cs="Arial"/>
          <w:color w:val="595959" w:themeColor="text1" w:themeTint="A6"/>
          <w:lang w:eastAsia="en-GB"/>
        </w:rPr>
        <w:t>mic Commission for Europe.</w:t>
      </w:r>
    </w:p>
    <w:p w:rsidR="00AE4653" w:rsidRPr="004F4EE7" w:rsidRDefault="000D0198" w:rsidP="00AE4653">
      <w:pPr>
        <w:autoSpaceDE w:val="0"/>
        <w:autoSpaceDN w:val="0"/>
        <w:adjustRightInd w:val="0"/>
        <w:rPr>
          <w:rFonts w:ascii="Calibri" w:hAnsi="Calibri" w:cs="Arial"/>
          <w:color w:val="595959" w:themeColor="text1" w:themeTint="A6"/>
          <w:lang w:eastAsia="en-GB"/>
        </w:rPr>
      </w:pPr>
      <w:r w:rsidRPr="004F4EE7">
        <w:rPr>
          <w:rFonts w:ascii="Calibri" w:hAnsi="Calibri" w:cs="Arial"/>
          <w:b/>
          <w:i/>
          <w:color w:val="595959" w:themeColor="text1" w:themeTint="A6"/>
          <w:lang w:eastAsia="en-GB"/>
        </w:rPr>
        <w:t>S</w:t>
      </w:r>
      <w:r w:rsidR="00AE4653" w:rsidRPr="004F4EE7">
        <w:rPr>
          <w:rFonts w:ascii="Calibri" w:hAnsi="Calibri" w:cs="Arial"/>
          <w:b/>
          <w:i/>
          <w:color w:val="595959" w:themeColor="text1" w:themeTint="A6"/>
          <w:lang w:eastAsia="en-GB"/>
        </w:rPr>
        <w:t>hipbuilding sector</w:t>
      </w:r>
      <w:r w:rsidR="00AE4653" w:rsidRPr="004F4EE7">
        <w:rPr>
          <w:rFonts w:ascii="Calibri" w:hAnsi="Calibri" w:cs="Arial"/>
          <w:color w:val="595959" w:themeColor="text1" w:themeTint="A6"/>
          <w:lang w:eastAsia="en-GB"/>
        </w:rPr>
        <w:t xml:space="preserve"> means any undertaking which is involved in the</w:t>
      </w:r>
      <w:r w:rsidRPr="004F4EE7">
        <w:rPr>
          <w:rFonts w:ascii="Calibri" w:hAnsi="Calibri" w:cs="Arial"/>
          <w:color w:val="595959" w:themeColor="text1" w:themeTint="A6"/>
          <w:lang w:eastAsia="en-GB"/>
        </w:rPr>
        <w:t xml:space="preserve"> </w:t>
      </w:r>
      <w:r w:rsidR="00AE4653" w:rsidRPr="004F4EE7">
        <w:rPr>
          <w:rFonts w:ascii="Calibri" w:hAnsi="Calibri" w:cs="Arial"/>
          <w:color w:val="595959" w:themeColor="text1" w:themeTint="A6"/>
          <w:lang w:eastAsia="en-GB"/>
        </w:rPr>
        <w:t>building, repair or conversion of ships where ‘shipbuilding’ means the</w:t>
      </w:r>
      <w:r w:rsidRPr="004F4EE7">
        <w:rPr>
          <w:rFonts w:ascii="Calibri" w:hAnsi="Calibri" w:cs="Arial"/>
          <w:color w:val="595959" w:themeColor="text1" w:themeTint="A6"/>
          <w:lang w:eastAsia="en-GB"/>
        </w:rPr>
        <w:t xml:space="preserve"> </w:t>
      </w:r>
      <w:r w:rsidR="00AE4653" w:rsidRPr="004F4EE7">
        <w:rPr>
          <w:rFonts w:ascii="Calibri" w:hAnsi="Calibri" w:cs="Arial"/>
          <w:color w:val="595959" w:themeColor="text1" w:themeTint="A6"/>
          <w:lang w:eastAsia="en-GB"/>
        </w:rPr>
        <w:t>building, in the Community, of self-propel</w:t>
      </w:r>
      <w:r w:rsidR="008D405B" w:rsidRPr="004F4EE7">
        <w:rPr>
          <w:rFonts w:ascii="Calibri" w:hAnsi="Calibri" w:cs="Arial"/>
          <w:color w:val="595959" w:themeColor="text1" w:themeTint="A6"/>
          <w:lang w:eastAsia="en-GB"/>
        </w:rPr>
        <w:t>led seagoing commercial vessels.</w:t>
      </w:r>
    </w:p>
    <w:p w:rsidR="003C3F20" w:rsidRPr="004F4EE7" w:rsidRDefault="003C3F20" w:rsidP="003C3F20">
      <w:pPr>
        <w:autoSpaceDE w:val="0"/>
        <w:autoSpaceDN w:val="0"/>
        <w:adjustRightInd w:val="0"/>
        <w:spacing w:after="0"/>
        <w:rPr>
          <w:rFonts w:ascii="Calibri" w:hAnsi="Calibri" w:cs="Arial"/>
          <w:color w:val="595959" w:themeColor="text1" w:themeTint="A6"/>
          <w:lang w:eastAsia="en-GB"/>
        </w:rPr>
      </w:pPr>
      <w:r w:rsidRPr="004F4EE7">
        <w:rPr>
          <w:rFonts w:ascii="Calibri" w:hAnsi="Calibri" w:cs="Arial"/>
          <w:b/>
          <w:i/>
          <w:color w:val="595959" w:themeColor="text1" w:themeTint="A6"/>
          <w:lang w:eastAsia="en-GB"/>
        </w:rPr>
        <w:t>Transport</w:t>
      </w:r>
      <w:r w:rsidRPr="004F4EE7">
        <w:rPr>
          <w:rFonts w:ascii="Calibri" w:hAnsi="Calibri" w:cs="Arial"/>
          <w:color w:val="595959" w:themeColor="text1" w:themeTint="A6"/>
          <w:lang w:eastAsia="en-GB"/>
        </w:rPr>
        <w:t xml:space="preserve"> </w:t>
      </w:r>
      <w:r w:rsidRPr="004F4EE7">
        <w:rPr>
          <w:rFonts w:ascii="Calibri" w:hAnsi="Calibri" w:cs="Arial"/>
          <w:b/>
          <w:i/>
          <w:color w:val="595959" w:themeColor="text1" w:themeTint="A6"/>
          <w:lang w:eastAsia="en-GB"/>
        </w:rPr>
        <w:t xml:space="preserve">sector </w:t>
      </w:r>
      <w:r w:rsidRPr="004F4EE7">
        <w:rPr>
          <w:rFonts w:ascii="Calibri" w:hAnsi="Calibri" w:cs="Arial"/>
          <w:color w:val="595959" w:themeColor="text1" w:themeTint="A6"/>
          <w:lang w:eastAsia="en-GB"/>
        </w:rPr>
        <w:t>means the transport of passengers by aircraft, maritime transport, road, rail or by inland waterway or freight transport services for hire or reward.</w:t>
      </w:r>
      <w:r w:rsidRPr="004F4EE7">
        <w:rPr>
          <w:rFonts w:ascii="Calibri" w:hAnsi="Calibri"/>
          <w:color w:val="595959" w:themeColor="text1" w:themeTint="A6"/>
        </w:rPr>
        <w:t xml:space="preserve"> </w:t>
      </w:r>
      <w:r w:rsidRPr="004F4EE7">
        <w:rPr>
          <w:rFonts w:ascii="Calibri" w:hAnsi="Calibri" w:cs="Arial"/>
          <w:color w:val="595959" w:themeColor="text1" w:themeTint="A6"/>
          <w:lang w:eastAsia="en-GB"/>
        </w:rPr>
        <w:t xml:space="preserve">More specifically, the 'transport sector' means the following activities in terms of NACE Rev. 2: </w:t>
      </w:r>
    </w:p>
    <w:p w:rsidR="003C3F20" w:rsidRPr="004F4EE7" w:rsidRDefault="003C3F20" w:rsidP="00F61707">
      <w:pPr>
        <w:pStyle w:val="ListParagraph"/>
        <w:numPr>
          <w:ilvl w:val="0"/>
          <w:numId w:val="34"/>
        </w:numPr>
        <w:autoSpaceDE w:val="0"/>
        <w:autoSpaceDN w:val="0"/>
        <w:adjustRightInd w:val="0"/>
        <w:spacing w:after="0"/>
        <w:rPr>
          <w:rFonts w:ascii="Calibri" w:hAnsi="Calibri" w:cs="Arial"/>
          <w:color w:val="595959" w:themeColor="text1" w:themeTint="A6"/>
          <w:lang w:eastAsia="en-GB"/>
        </w:rPr>
      </w:pPr>
      <w:r w:rsidRPr="004F4EE7">
        <w:rPr>
          <w:rFonts w:ascii="Calibri" w:hAnsi="Calibri" w:cs="Arial"/>
          <w:color w:val="595959" w:themeColor="text1" w:themeTint="A6"/>
          <w:lang w:eastAsia="en-GB"/>
        </w:rPr>
        <w:t>NACE 49: Land transport and transport via pipelines, excluding NACE 49.32 Taxi operation, 49.42 Removal service</w:t>
      </w:r>
      <w:r w:rsidR="008D405B" w:rsidRPr="004F4EE7">
        <w:rPr>
          <w:rFonts w:ascii="Calibri" w:hAnsi="Calibri" w:cs="Arial"/>
          <w:color w:val="595959" w:themeColor="text1" w:themeTint="A6"/>
          <w:lang w:eastAsia="en-GB"/>
        </w:rPr>
        <w:t>s, 49.5 Transport via pipeline</w:t>
      </w:r>
    </w:p>
    <w:p w:rsidR="003C3F20" w:rsidRPr="004F4EE7" w:rsidRDefault="008D405B" w:rsidP="00F61707">
      <w:pPr>
        <w:pStyle w:val="ListParagraph"/>
        <w:numPr>
          <w:ilvl w:val="0"/>
          <w:numId w:val="34"/>
        </w:numPr>
        <w:autoSpaceDE w:val="0"/>
        <w:autoSpaceDN w:val="0"/>
        <w:adjustRightInd w:val="0"/>
        <w:spacing w:after="0"/>
        <w:rPr>
          <w:rFonts w:ascii="Calibri" w:hAnsi="Calibri" w:cs="Arial"/>
          <w:color w:val="595959" w:themeColor="text1" w:themeTint="A6"/>
          <w:lang w:eastAsia="en-GB"/>
        </w:rPr>
      </w:pPr>
      <w:r w:rsidRPr="004F4EE7">
        <w:rPr>
          <w:rFonts w:ascii="Calibri" w:hAnsi="Calibri" w:cs="Arial"/>
          <w:color w:val="595959" w:themeColor="text1" w:themeTint="A6"/>
          <w:lang w:eastAsia="en-GB"/>
        </w:rPr>
        <w:t>NACE 50: Water transport</w:t>
      </w:r>
      <w:r w:rsidR="003C3F20" w:rsidRPr="004F4EE7">
        <w:rPr>
          <w:rFonts w:ascii="Calibri" w:hAnsi="Calibri" w:cs="Arial"/>
          <w:color w:val="595959" w:themeColor="text1" w:themeTint="A6"/>
          <w:lang w:eastAsia="en-GB"/>
        </w:rPr>
        <w:t xml:space="preserve"> </w:t>
      </w:r>
    </w:p>
    <w:p w:rsidR="003C3F20" w:rsidRPr="004F4EE7" w:rsidRDefault="003C3F20" w:rsidP="00F61707">
      <w:pPr>
        <w:pStyle w:val="ListParagraph"/>
        <w:numPr>
          <w:ilvl w:val="0"/>
          <w:numId w:val="34"/>
        </w:numPr>
        <w:autoSpaceDE w:val="0"/>
        <w:autoSpaceDN w:val="0"/>
        <w:adjustRightInd w:val="0"/>
        <w:spacing w:after="0"/>
        <w:rPr>
          <w:rFonts w:ascii="Calibri" w:hAnsi="Calibri" w:cs="Arial"/>
          <w:color w:val="595959" w:themeColor="text1" w:themeTint="A6"/>
          <w:lang w:eastAsia="en-GB"/>
        </w:rPr>
      </w:pPr>
      <w:r w:rsidRPr="004F4EE7">
        <w:rPr>
          <w:rFonts w:ascii="Calibri" w:hAnsi="Calibri" w:cs="Arial"/>
          <w:color w:val="595959" w:themeColor="text1" w:themeTint="A6"/>
          <w:lang w:eastAsia="en-GB"/>
        </w:rPr>
        <w:t>NACE 51: Air transport, excluding NACE 51.22 Space transport</w:t>
      </w:r>
      <w:r w:rsidR="008D405B" w:rsidRPr="004F4EE7">
        <w:rPr>
          <w:rFonts w:ascii="Calibri" w:hAnsi="Calibri" w:cs="Arial"/>
          <w:color w:val="595959" w:themeColor="text1" w:themeTint="A6"/>
          <w:lang w:eastAsia="en-GB"/>
        </w:rPr>
        <w:t xml:space="preserve"> r</w:t>
      </w:r>
      <w:r w:rsidRPr="004F4EE7">
        <w:rPr>
          <w:rFonts w:ascii="Calibri" w:hAnsi="Calibri" w:cs="Arial"/>
          <w:color w:val="595959" w:themeColor="text1" w:themeTint="A6"/>
          <w:lang w:eastAsia="en-GB"/>
        </w:rPr>
        <w:t>elated infrastructure</w:t>
      </w:r>
    </w:p>
    <w:p w:rsidR="00854ED5" w:rsidRPr="004F4EE7" w:rsidRDefault="00854ED5" w:rsidP="00854ED5">
      <w:pPr>
        <w:pStyle w:val="ListParagraph"/>
        <w:autoSpaceDE w:val="0"/>
        <w:autoSpaceDN w:val="0"/>
        <w:adjustRightInd w:val="0"/>
        <w:spacing w:after="0"/>
        <w:ind w:left="1080"/>
        <w:rPr>
          <w:rFonts w:ascii="Calibri" w:hAnsi="Calibri" w:cs="Arial"/>
          <w:color w:val="595959" w:themeColor="text1" w:themeTint="A6"/>
          <w:lang w:eastAsia="en-GB"/>
        </w:rPr>
      </w:pPr>
    </w:p>
    <w:p w:rsidR="00AE4653" w:rsidRPr="004F4EE7" w:rsidRDefault="000D0198" w:rsidP="00AE4653">
      <w:pPr>
        <w:autoSpaceDE w:val="0"/>
        <w:autoSpaceDN w:val="0"/>
        <w:adjustRightInd w:val="0"/>
        <w:rPr>
          <w:rFonts w:ascii="Calibri" w:hAnsi="Calibri" w:cs="Arial"/>
          <w:color w:val="595959" w:themeColor="text1" w:themeTint="A6"/>
          <w:lang w:eastAsia="en-GB"/>
        </w:rPr>
      </w:pPr>
      <w:r w:rsidRPr="004F4EE7">
        <w:rPr>
          <w:rFonts w:ascii="Calibri" w:hAnsi="Calibri" w:cs="Arial"/>
          <w:b/>
          <w:i/>
          <w:color w:val="595959" w:themeColor="text1" w:themeTint="A6"/>
          <w:lang w:eastAsia="en-GB"/>
        </w:rPr>
        <w:t>Tourism activities</w:t>
      </w:r>
      <w:r w:rsidR="00AE4653" w:rsidRPr="004F4EE7">
        <w:rPr>
          <w:rFonts w:ascii="Calibri" w:hAnsi="Calibri" w:cs="Arial"/>
          <w:color w:val="595959" w:themeColor="text1" w:themeTint="A6"/>
          <w:lang w:eastAsia="en-GB"/>
        </w:rPr>
        <w:t xml:space="preserve"> means the following activities in terms of</w:t>
      </w:r>
      <w:r w:rsidR="008F4CCC" w:rsidRPr="004F4EE7">
        <w:rPr>
          <w:rFonts w:ascii="Calibri" w:hAnsi="Calibri" w:cs="Arial"/>
          <w:color w:val="595959" w:themeColor="text1" w:themeTint="A6"/>
          <w:lang w:eastAsia="en-GB"/>
        </w:rPr>
        <w:t xml:space="preserve"> </w:t>
      </w:r>
      <w:r w:rsidR="00AE4653" w:rsidRPr="004F4EE7">
        <w:rPr>
          <w:rFonts w:ascii="Calibri" w:hAnsi="Calibri" w:cs="Arial"/>
          <w:color w:val="595959" w:themeColor="text1" w:themeTint="A6"/>
          <w:lang w:eastAsia="en-GB"/>
        </w:rPr>
        <w:t>NACE Rev. 2:</w:t>
      </w:r>
    </w:p>
    <w:p w:rsidR="00AE4653" w:rsidRPr="004F4EE7" w:rsidRDefault="008D405B" w:rsidP="00F61707">
      <w:pPr>
        <w:pStyle w:val="ListParagraph"/>
        <w:numPr>
          <w:ilvl w:val="0"/>
          <w:numId w:val="35"/>
        </w:numPr>
        <w:rPr>
          <w:rFonts w:ascii="Calibri" w:hAnsi="Calibri"/>
          <w:color w:val="595959" w:themeColor="text1" w:themeTint="A6"/>
          <w:lang w:eastAsia="en-GB"/>
        </w:rPr>
      </w:pPr>
      <w:r w:rsidRPr="004F4EE7">
        <w:rPr>
          <w:rFonts w:ascii="Calibri" w:hAnsi="Calibri"/>
          <w:color w:val="595959" w:themeColor="text1" w:themeTint="A6"/>
          <w:lang w:eastAsia="en-GB"/>
        </w:rPr>
        <w:t>NACE 55:Accommodation</w:t>
      </w:r>
    </w:p>
    <w:p w:rsidR="00AE4653" w:rsidRPr="004F4EE7" w:rsidRDefault="00AE4653" w:rsidP="00F61707">
      <w:pPr>
        <w:pStyle w:val="ListParagraph"/>
        <w:numPr>
          <w:ilvl w:val="0"/>
          <w:numId w:val="35"/>
        </w:numPr>
        <w:rPr>
          <w:rFonts w:ascii="Calibri" w:hAnsi="Calibri"/>
          <w:color w:val="595959" w:themeColor="text1" w:themeTint="A6"/>
          <w:lang w:eastAsia="en-GB"/>
        </w:rPr>
      </w:pPr>
      <w:r w:rsidRPr="004F4EE7">
        <w:rPr>
          <w:rFonts w:ascii="Calibri" w:hAnsi="Calibri"/>
          <w:color w:val="595959" w:themeColor="text1" w:themeTint="A6"/>
          <w:lang w:eastAsia="en-GB"/>
        </w:rPr>
        <w:t xml:space="preserve">NACE 56: Food </w:t>
      </w:r>
      <w:r w:rsidR="008D405B" w:rsidRPr="004F4EE7">
        <w:rPr>
          <w:rFonts w:ascii="Calibri" w:hAnsi="Calibri"/>
          <w:color w:val="595959" w:themeColor="text1" w:themeTint="A6"/>
          <w:lang w:eastAsia="en-GB"/>
        </w:rPr>
        <w:t>and beverage service activities</w:t>
      </w:r>
    </w:p>
    <w:p w:rsidR="00AE4653" w:rsidRPr="004F4EE7" w:rsidRDefault="008D405B" w:rsidP="00F61707">
      <w:pPr>
        <w:pStyle w:val="ListParagraph"/>
        <w:numPr>
          <w:ilvl w:val="0"/>
          <w:numId w:val="35"/>
        </w:numPr>
        <w:rPr>
          <w:rFonts w:ascii="Calibri" w:hAnsi="Calibri"/>
          <w:color w:val="595959" w:themeColor="text1" w:themeTint="A6"/>
          <w:lang w:eastAsia="en-GB"/>
        </w:rPr>
      </w:pPr>
      <w:r w:rsidRPr="004F4EE7">
        <w:rPr>
          <w:rFonts w:ascii="Calibri" w:hAnsi="Calibri"/>
          <w:color w:val="595959" w:themeColor="text1" w:themeTint="A6"/>
          <w:lang w:eastAsia="en-GB"/>
        </w:rPr>
        <w:t>N</w:t>
      </w:r>
      <w:r w:rsidR="00AE4653" w:rsidRPr="004F4EE7">
        <w:rPr>
          <w:rFonts w:ascii="Calibri" w:hAnsi="Calibri"/>
          <w:color w:val="595959" w:themeColor="text1" w:themeTint="A6"/>
          <w:lang w:eastAsia="en-GB"/>
        </w:rPr>
        <w:t>ACE 79: Travel agency, tour operator reservation service and related</w:t>
      </w:r>
      <w:r w:rsidR="003268E9" w:rsidRPr="004F4EE7">
        <w:rPr>
          <w:rFonts w:ascii="Calibri" w:hAnsi="Calibri"/>
          <w:color w:val="595959" w:themeColor="text1" w:themeTint="A6"/>
          <w:lang w:eastAsia="en-GB"/>
        </w:rPr>
        <w:t xml:space="preserve"> </w:t>
      </w:r>
      <w:r w:rsidRPr="004F4EE7">
        <w:rPr>
          <w:rFonts w:ascii="Calibri" w:hAnsi="Calibri"/>
          <w:color w:val="595959" w:themeColor="text1" w:themeTint="A6"/>
          <w:lang w:eastAsia="en-GB"/>
        </w:rPr>
        <w:t>activities</w:t>
      </w:r>
    </w:p>
    <w:p w:rsidR="00AE4653" w:rsidRPr="004F4EE7" w:rsidRDefault="008D405B" w:rsidP="00F61707">
      <w:pPr>
        <w:pStyle w:val="ListParagraph"/>
        <w:numPr>
          <w:ilvl w:val="0"/>
          <w:numId w:val="35"/>
        </w:numPr>
        <w:rPr>
          <w:rFonts w:ascii="Calibri" w:hAnsi="Calibri"/>
          <w:color w:val="595959" w:themeColor="text1" w:themeTint="A6"/>
          <w:lang w:eastAsia="en-GB"/>
        </w:rPr>
      </w:pPr>
      <w:r w:rsidRPr="004F4EE7">
        <w:rPr>
          <w:rFonts w:ascii="Calibri" w:hAnsi="Calibri"/>
          <w:color w:val="595959" w:themeColor="text1" w:themeTint="A6"/>
          <w:lang w:eastAsia="en-GB"/>
        </w:rPr>
        <w:t>N</w:t>
      </w:r>
      <w:r w:rsidR="00AE4653" w:rsidRPr="004F4EE7">
        <w:rPr>
          <w:rFonts w:ascii="Calibri" w:hAnsi="Calibri"/>
          <w:color w:val="595959" w:themeColor="text1" w:themeTint="A6"/>
          <w:lang w:eastAsia="en-GB"/>
        </w:rPr>
        <w:t>ACE 90: Creative, arts</w:t>
      </w:r>
      <w:r w:rsidRPr="004F4EE7">
        <w:rPr>
          <w:rFonts w:ascii="Calibri" w:hAnsi="Calibri"/>
          <w:color w:val="595959" w:themeColor="text1" w:themeTint="A6"/>
          <w:lang w:eastAsia="en-GB"/>
        </w:rPr>
        <w:t xml:space="preserve"> and entertainment activities</w:t>
      </w:r>
    </w:p>
    <w:p w:rsidR="00AE4653" w:rsidRPr="004F4EE7" w:rsidRDefault="008D405B" w:rsidP="00F61707">
      <w:pPr>
        <w:pStyle w:val="ListParagraph"/>
        <w:numPr>
          <w:ilvl w:val="0"/>
          <w:numId w:val="35"/>
        </w:numPr>
        <w:rPr>
          <w:rFonts w:ascii="Calibri" w:hAnsi="Calibri"/>
          <w:color w:val="595959" w:themeColor="text1" w:themeTint="A6"/>
          <w:lang w:eastAsia="en-GB"/>
        </w:rPr>
      </w:pPr>
      <w:r w:rsidRPr="004F4EE7">
        <w:rPr>
          <w:rFonts w:ascii="Calibri" w:hAnsi="Calibri"/>
          <w:color w:val="595959" w:themeColor="text1" w:themeTint="A6"/>
          <w:lang w:eastAsia="en-GB"/>
        </w:rPr>
        <w:t>N</w:t>
      </w:r>
      <w:r w:rsidR="00AE4653" w:rsidRPr="004F4EE7">
        <w:rPr>
          <w:rFonts w:ascii="Calibri" w:hAnsi="Calibri"/>
          <w:color w:val="595959" w:themeColor="text1" w:themeTint="A6"/>
          <w:lang w:eastAsia="en-GB"/>
        </w:rPr>
        <w:t>ACE 91: Libraries, archives, museum</w:t>
      </w:r>
      <w:r w:rsidRPr="004F4EE7">
        <w:rPr>
          <w:rFonts w:ascii="Calibri" w:hAnsi="Calibri"/>
          <w:color w:val="595959" w:themeColor="text1" w:themeTint="A6"/>
          <w:lang w:eastAsia="en-GB"/>
        </w:rPr>
        <w:t>s and other cultural activities</w:t>
      </w:r>
    </w:p>
    <w:p w:rsidR="00AE4653" w:rsidRPr="004F4EE7" w:rsidRDefault="00AE4653" w:rsidP="00F61707">
      <w:pPr>
        <w:pStyle w:val="ListParagraph"/>
        <w:numPr>
          <w:ilvl w:val="0"/>
          <w:numId w:val="35"/>
        </w:numPr>
        <w:rPr>
          <w:rFonts w:ascii="Calibri" w:hAnsi="Calibri"/>
          <w:color w:val="595959" w:themeColor="text1" w:themeTint="A6"/>
          <w:lang w:eastAsia="en-GB"/>
        </w:rPr>
      </w:pPr>
      <w:r w:rsidRPr="004F4EE7">
        <w:rPr>
          <w:rFonts w:ascii="Calibri" w:hAnsi="Calibri"/>
          <w:color w:val="595959" w:themeColor="text1" w:themeTint="A6"/>
          <w:lang w:eastAsia="en-GB"/>
        </w:rPr>
        <w:t>NACE 93: Sports activities and amus</w:t>
      </w:r>
      <w:r w:rsidR="008D405B" w:rsidRPr="004F4EE7">
        <w:rPr>
          <w:rFonts w:ascii="Calibri" w:hAnsi="Calibri"/>
          <w:color w:val="595959" w:themeColor="text1" w:themeTint="A6"/>
          <w:lang w:eastAsia="en-GB"/>
        </w:rPr>
        <w:t>ement and recreation activities</w:t>
      </w:r>
    </w:p>
    <w:p w:rsidR="00AE4653" w:rsidRPr="004F4EE7" w:rsidRDefault="000D0198" w:rsidP="00AE4653">
      <w:pPr>
        <w:autoSpaceDE w:val="0"/>
        <w:autoSpaceDN w:val="0"/>
        <w:adjustRightInd w:val="0"/>
        <w:rPr>
          <w:rFonts w:ascii="Calibri" w:hAnsi="Calibri" w:cs="Arial"/>
          <w:color w:val="595959" w:themeColor="text1" w:themeTint="A6"/>
          <w:lang w:eastAsia="en-GB"/>
        </w:rPr>
      </w:pPr>
      <w:r w:rsidRPr="004F4EE7">
        <w:rPr>
          <w:rFonts w:ascii="Calibri" w:hAnsi="Calibri" w:cs="Arial"/>
          <w:b/>
          <w:i/>
          <w:color w:val="595959" w:themeColor="text1" w:themeTint="A6"/>
          <w:lang w:eastAsia="en-GB"/>
        </w:rPr>
        <w:t>Synthetic fibres sector</w:t>
      </w:r>
      <w:r w:rsidR="00AE4653" w:rsidRPr="004F4EE7">
        <w:rPr>
          <w:rFonts w:ascii="Calibri" w:hAnsi="Calibri" w:cs="Arial"/>
          <w:color w:val="595959" w:themeColor="text1" w:themeTint="A6"/>
          <w:lang w:eastAsia="en-GB"/>
        </w:rPr>
        <w:t xml:space="preserve"> means:</w:t>
      </w:r>
    </w:p>
    <w:p w:rsidR="00AE4653" w:rsidRPr="004F4EE7" w:rsidRDefault="00AE4653" w:rsidP="00F61707">
      <w:pPr>
        <w:pStyle w:val="ListParagraph"/>
        <w:numPr>
          <w:ilvl w:val="0"/>
          <w:numId w:val="36"/>
        </w:numPr>
        <w:rPr>
          <w:rFonts w:ascii="Calibri" w:hAnsi="Calibri"/>
          <w:color w:val="595959" w:themeColor="text1" w:themeTint="A6"/>
          <w:lang w:eastAsia="en-GB"/>
        </w:rPr>
      </w:pPr>
      <w:r w:rsidRPr="004F4EE7">
        <w:rPr>
          <w:rFonts w:ascii="Calibri" w:hAnsi="Calibri"/>
          <w:color w:val="595959" w:themeColor="text1" w:themeTint="A6"/>
          <w:lang w:eastAsia="en-GB"/>
        </w:rPr>
        <w:t>extrusion/texturisation of all generic types of fibre and yarn based on</w:t>
      </w:r>
      <w:r w:rsidR="000D0198" w:rsidRPr="004F4EE7">
        <w:rPr>
          <w:rFonts w:ascii="Calibri" w:hAnsi="Calibri"/>
          <w:color w:val="595959" w:themeColor="text1" w:themeTint="A6"/>
          <w:lang w:eastAsia="en-GB"/>
        </w:rPr>
        <w:t xml:space="preserve"> </w:t>
      </w:r>
      <w:r w:rsidRPr="004F4EE7">
        <w:rPr>
          <w:rFonts w:ascii="Calibri" w:hAnsi="Calibri"/>
          <w:color w:val="595959" w:themeColor="text1" w:themeTint="A6"/>
          <w:lang w:eastAsia="en-GB"/>
        </w:rPr>
        <w:t>polyester, polyamide, acrylic or polypropylene, irrespective of their end</w:t>
      </w:r>
      <w:r w:rsidR="00DC57EB" w:rsidRPr="004F4EE7">
        <w:rPr>
          <w:rFonts w:ascii="Calibri" w:hAnsi="Calibri"/>
          <w:color w:val="595959" w:themeColor="text1" w:themeTint="A6"/>
          <w:lang w:eastAsia="en-GB"/>
        </w:rPr>
        <w:t xml:space="preserve"> </w:t>
      </w:r>
      <w:r w:rsidR="00854ED5" w:rsidRPr="004F4EE7">
        <w:rPr>
          <w:rFonts w:ascii="Calibri" w:hAnsi="Calibri"/>
          <w:color w:val="595959" w:themeColor="text1" w:themeTint="A6"/>
          <w:lang w:eastAsia="en-GB"/>
        </w:rPr>
        <w:t>uses</w:t>
      </w:r>
    </w:p>
    <w:p w:rsidR="00AE4653" w:rsidRPr="004F4EE7" w:rsidRDefault="00AE4653" w:rsidP="00F61707">
      <w:pPr>
        <w:pStyle w:val="ListParagraph"/>
        <w:numPr>
          <w:ilvl w:val="0"/>
          <w:numId w:val="36"/>
        </w:numPr>
        <w:rPr>
          <w:rFonts w:ascii="Calibri" w:hAnsi="Calibri"/>
          <w:color w:val="595959" w:themeColor="text1" w:themeTint="A6"/>
          <w:lang w:eastAsia="en-GB"/>
        </w:rPr>
      </w:pPr>
      <w:r w:rsidRPr="004F4EE7">
        <w:rPr>
          <w:rFonts w:ascii="Calibri" w:hAnsi="Calibri"/>
          <w:color w:val="595959" w:themeColor="text1" w:themeTint="A6"/>
          <w:lang w:eastAsia="en-GB"/>
        </w:rPr>
        <w:t>polymerisation (including polycondensation) where it is integrated with</w:t>
      </w:r>
      <w:r w:rsidR="000D0198" w:rsidRPr="004F4EE7">
        <w:rPr>
          <w:rFonts w:ascii="Calibri" w:hAnsi="Calibri"/>
          <w:color w:val="595959" w:themeColor="text1" w:themeTint="A6"/>
          <w:lang w:eastAsia="en-GB"/>
        </w:rPr>
        <w:t xml:space="preserve"> </w:t>
      </w:r>
      <w:r w:rsidRPr="004F4EE7">
        <w:rPr>
          <w:rFonts w:ascii="Calibri" w:hAnsi="Calibri"/>
          <w:color w:val="595959" w:themeColor="text1" w:themeTint="A6"/>
          <w:lang w:eastAsia="en-GB"/>
        </w:rPr>
        <w:t>extrusion in</w:t>
      </w:r>
      <w:r w:rsidR="00854ED5" w:rsidRPr="004F4EE7">
        <w:rPr>
          <w:rFonts w:ascii="Calibri" w:hAnsi="Calibri"/>
          <w:color w:val="595959" w:themeColor="text1" w:themeTint="A6"/>
          <w:lang w:eastAsia="en-GB"/>
        </w:rPr>
        <w:t xml:space="preserve"> terms of the machinery used</w:t>
      </w:r>
    </w:p>
    <w:p w:rsidR="00AE4653" w:rsidRPr="004F4EE7" w:rsidRDefault="008D405B" w:rsidP="00F61707">
      <w:pPr>
        <w:pStyle w:val="ListParagraph"/>
        <w:numPr>
          <w:ilvl w:val="0"/>
          <w:numId w:val="36"/>
        </w:numPr>
        <w:rPr>
          <w:rFonts w:ascii="Calibri" w:hAnsi="Calibri"/>
          <w:color w:val="595959" w:themeColor="text1" w:themeTint="A6"/>
          <w:lang w:eastAsia="en-GB"/>
        </w:rPr>
      </w:pPr>
      <w:r w:rsidRPr="004F4EE7">
        <w:rPr>
          <w:rFonts w:ascii="Calibri" w:hAnsi="Calibri"/>
          <w:color w:val="595959" w:themeColor="text1" w:themeTint="A6"/>
          <w:lang w:eastAsia="en-GB"/>
        </w:rPr>
        <w:t>a</w:t>
      </w:r>
      <w:r w:rsidR="00AE4653" w:rsidRPr="004F4EE7">
        <w:rPr>
          <w:rFonts w:ascii="Calibri" w:hAnsi="Calibri"/>
          <w:color w:val="595959" w:themeColor="text1" w:themeTint="A6"/>
          <w:lang w:eastAsia="en-GB"/>
        </w:rPr>
        <w:t>ny ancillary process linked to the contemporaneous installation of</w:t>
      </w:r>
      <w:r w:rsidR="000D0198" w:rsidRPr="004F4EE7">
        <w:rPr>
          <w:rFonts w:ascii="Calibri" w:hAnsi="Calibri"/>
          <w:color w:val="595959" w:themeColor="text1" w:themeTint="A6"/>
          <w:lang w:eastAsia="en-GB"/>
        </w:rPr>
        <w:t xml:space="preserve"> </w:t>
      </w:r>
      <w:r w:rsidR="00AE4653" w:rsidRPr="004F4EE7">
        <w:rPr>
          <w:rFonts w:ascii="Calibri" w:hAnsi="Calibri"/>
          <w:color w:val="595959" w:themeColor="text1" w:themeTint="A6"/>
          <w:lang w:eastAsia="en-GB"/>
        </w:rPr>
        <w:t>extrusion/texturisation capacity by the prospective beneficiary or by</w:t>
      </w:r>
      <w:r w:rsidR="000D0198" w:rsidRPr="004F4EE7">
        <w:rPr>
          <w:rFonts w:ascii="Calibri" w:hAnsi="Calibri"/>
          <w:color w:val="595959" w:themeColor="text1" w:themeTint="A6"/>
          <w:lang w:eastAsia="en-GB"/>
        </w:rPr>
        <w:t xml:space="preserve"> </w:t>
      </w:r>
      <w:r w:rsidR="00AE4653" w:rsidRPr="004F4EE7">
        <w:rPr>
          <w:rFonts w:ascii="Calibri" w:hAnsi="Calibri"/>
          <w:color w:val="595959" w:themeColor="text1" w:themeTint="A6"/>
          <w:lang w:eastAsia="en-GB"/>
        </w:rPr>
        <w:t>another company in the group to which it belongs and which, in the</w:t>
      </w:r>
      <w:r w:rsidR="000D0198" w:rsidRPr="004F4EE7">
        <w:rPr>
          <w:rFonts w:ascii="Calibri" w:hAnsi="Calibri"/>
          <w:color w:val="595959" w:themeColor="text1" w:themeTint="A6"/>
          <w:lang w:eastAsia="en-GB"/>
        </w:rPr>
        <w:t xml:space="preserve"> </w:t>
      </w:r>
      <w:r w:rsidR="00AE4653" w:rsidRPr="004F4EE7">
        <w:rPr>
          <w:rFonts w:ascii="Calibri" w:hAnsi="Calibri"/>
          <w:color w:val="595959" w:themeColor="text1" w:themeTint="A6"/>
          <w:lang w:eastAsia="en-GB"/>
        </w:rPr>
        <w:t xml:space="preserve">specific business activity </w:t>
      </w:r>
      <w:r w:rsidR="000D0198" w:rsidRPr="004F4EE7">
        <w:rPr>
          <w:rFonts w:ascii="Calibri" w:hAnsi="Calibri"/>
          <w:color w:val="595959" w:themeColor="text1" w:themeTint="A6"/>
          <w:lang w:eastAsia="en-GB"/>
        </w:rPr>
        <w:t xml:space="preserve"> </w:t>
      </w:r>
      <w:r w:rsidR="00DC57EB" w:rsidRPr="004F4EE7">
        <w:rPr>
          <w:rFonts w:ascii="Calibri" w:hAnsi="Calibri"/>
          <w:color w:val="595959" w:themeColor="text1" w:themeTint="A6"/>
          <w:lang w:eastAsia="en-GB"/>
        </w:rPr>
        <w:t>c</w:t>
      </w:r>
      <w:r w:rsidR="00AE4653" w:rsidRPr="004F4EE7">
        <w:rPr>
          <w:rFonts w:ascii="Calibri" w:hAnsi="Calibri"/>
          <w:color w:val="595959" w:themeColor="text1" w:themeTint="A6"/>
          <w:lang w:eastAsia="en-GB"/>
        </w:rPr>
        <w:t>oncerned, is normally integrated with such</w:t>
      </w:r>
      <w:r w:rsidR="000D0198" w:rsidRPr="004F4EE7">
        <w:rPr>
          <w:rFonts w:ascii="Calibri" w:hAnsi="Calibri"/>
          <w:color w:val="595959" w:themeColor="text1" w:themeTint="A6"/>
          <w:lang w:eastAsia="en-GB"/>
        </w:rPr>
        <w:t xml:space="preserve"> </w:t>
      </w:r>
      <w:r w:rsidR="00AE4653" w:rsidRPr="004F4EE7">
        <w:rPr>
          <w:rFonts w:ascii="Calibri" w:hAnsi="Calibri"/>
          <w:color w:val="595959" w:themeColor="text1" w:themeTint="A6"/>
          <w:lang w:eastAsia="en-GB"/>
        </w:rPr>
        <w:t>capacity</w:t>
      </w:r>
      <w:r w:rsidR="00854ED5" w:rsidRPr="004F4EE7">
        <w:rPr>
          <w:rFonts w:ascii="Calibri" w:hAnsi="Calibri"/>
          <w:color w:val="595959" w:themeColor="text1" w:themeTint="A6"/>
          <w:lang w:eastAsia="en-GB"/>
        </w:rPr>
        <w:t xml:space="preserve"> in terms of the machinery used</w:t>
      </w:r>
    </w:p>
    <w:p w:rsidR="00AE4653" w:rsidRPr="004F4EE7" w:rsidRDefault="000D0198" w:rsidP="00AE4653">
      <w:pPr>
        <w:autoSpaceDE w:val="0"/>
        <w:autoSpaceDN w:val="0"/>
        <w:adjustRightInd w:val="0"/>
        <w:rPr>
          <w:rFonts w:ascii="Calibri" w:hAnsi="Calibri" w:cs="Arial"/>
          <w:color w:val="595959" w:themeColor="text1" w:themeTint="A6"/>
          <w:lang w:eastAsia="en-GB"/>
        </w:rPr>
      </w:pPr>
      <w:r w:rsidRPr="004F4EE7">
        <w:rPr>
          <w:rFonts w:ascii="Calibri" w:hAnsi="Calibri" w:cs="Arial"/>
          <w:b/>
          <w:i/>
          <w:color w:val="595959" w:themeColor="text1" w:themeTint="A6"/>
          <w:lang w:eastAsia="en-GB"/>
        </w:rPr>
        <w:t>Steel sector</w:t>
      </w:r>
      <w:r w:rsidR="00AE4653" w:rsidRPr="004F4EE7">
        <w:rPr>
          <w:rFonts w:ascii="Calibri" w:hAnsi="Calibri" w:cs="Arial"/>
          <w:color w:val="595959" w:themeColor="text1" w:themeTint="A6"/>
          <w:lang w:eastAsia="en-GB"/>
        </w:rPr>
        <w:t xml:space="preserve"> means all activities related to the production of one or more</w:t>
      </w:r>
      <w:r w:rsidRPr="004F4EE7">
        <w:rPr>
          <w:rFonts w:ascii="Calibri" w:hAnsi="Calibri" w:cs="Arial"/>
          <w:color w:val="595959" w:themeColor="text1" w:themeTint="A6"/>
          <w:lang w:eastAsia="en-GB"/>
        </w:rPr>
        <w:t xml:space="preserve"> </w:t>
      </w:r>
      <w:r w:rsidR="00AE4653" w:rsidRPr="004F4EE7">
        <w:rPr>
          <w:rFonts w:ascii="Calibri" w:hAnsi="Calibri" w:cs="Arial"/>
          <w:color w:val="595959" w:themeColor="text1" w:themeTint="A6"/>
          <w:lang w:eastAsia="en-GB"/>
        </w:rPr>
        <w:t>of the following products:</w:t>
      </w:r>
    </w:p>
    <w:p w:rsidR="00AE4653" w:rsidRPr="004F4EE7" w:rsidRDefault="00AE4653" w:rsidP="00F61707">
      <w:pPr>
        <w:pStyle w:val="ListParagraph"/>
        <w:numPr>
          <w:ilvl w:val="0"/>
          <w:numId w:val="16"/>
        </w:numPr>
        <w:rPr>
          <w:rFonts w:ascii="Calibri" w:hAnsi="Calibri"/>
          <w:color w:val="595959" w:themeColor="text1" w:themeTint="A6"/>
          <w:lang w:eastAsia="en-GB"/>
        </w:rPr>
      </w:pPr>
      <w:r w:rsidRPr="004F4EE7">
        <w:rPr>
          <w:rFonts w:ascii="Calibri" w:hAnsi="Calibri"/>
          <w:color w:val="595959" w:themeColor="text1" w:themeTint="A6"/>
          <w:lang w:eastAsia="en-GB"/>
        </w:rPr>
        <w:t>pig iron and ferro-alloys: pig iron for steelmaking, foundry and other</w:t>
      </w:r>
      <w:r w:rsidR="000D0198" w:rsidRPr="004F4EE7">
        <w:rPr>
          <w:rFonts w:ascii="Calibri" w:hAnsi="Calibri"/>
          <w:color w:val="595959" w:themeColor="text1" w:themeTint="A6"/>
          <w:lang w:eastAsia="en-GB"/>
        </w:rPr>
        <w:t xml:space="preserve"> </w:t>
      </w:r>
      <w:r w:rsidRPr="004F4EE7">
        <w:rPr>
          <w:rFonts w:ascii="Calibri" w:hAnsi="Calibri"/>
          <w:color w:val="595959" w:themeColor="text1" w:themeTint="A6"/>
          <w:lang w:eastAsia="en-GB"/>
        </w:rPr>
        <w:t>pig iron, spiegeleisen and high-carbon ferro-manganese, not including</w:t>
      </w:r>
      <w:r w:rsidR="000D0198" w:rsidRPr="004F4EE7">
        <w:rPr>
          <w:rFonts w:ascii="Calibri" w:hAnsi="Calibri"/>
          <w:color w:val="595959" w:themeColor="text1" w:themeTint="A6"/>
          <w:lang w:eastAsia="en-GB"/>
        </w:rPr>
        <w:t xml:space="preserve"> </w:t>
      </w:r>
      <w:r w:rsidR="008D405B" w:rsidRPr="004F4EE7">
        <w:rPr>
          <w:rFonts w:ascii="Calibri" w:hAnsi="Calibri"/>
          <w:color w:val="595959" w:themeColor="text1" w:themeTint="A6"/>
          <w:lang w:eastAsia="en-GB"/>
        </w:rPr>
        <w:t>other ferro-alloys</w:t>
      </w:r>
    </w:p>
    <w:p w:rsidR="00AE4653" w:rsidRPr="004F4EE7" w:rsidRDefault="00DC57EB" w:rsidP="00F61707">
      <w:pPr>
        <w:pStyle w:val="ListParagraph"/>
        <w:numPr>
          <w:ilvl w:val="0"/>
          <w:numId w:val="16"/>
        </w:numPr>
        <w:rPr>
          <w:rFonts w:ascii="Calibri" w:hAnsi="Calibri"/>
          <w:color w:val="595959" w:themeColor="text1" w:themeTint="A6"/>
          <w:lang w:eastAsia="en-GB"/>
        </w:rPr>
      </w:pPr>
      <w:r w:rsidRPr="004F4EE7">
        <w:rPr>
          <w:rFonts w:ascii="Calibri" w:hAnsi="Calibri"/>
          <w:color w:val="595959" w:themeColor="text1" w:themeTint="A6"/>
          <w:lang w:eastAsia="en-GB"/>
        </w:rPr>
        <w:t>crude and semi-</w:t>
      </w:r>
      <w:r w:rsidR="00AE4653" w:rsidRPr="004F4EE7">
        <w:rPr>
          <w:rFonts w:ascii="Calibri" w:hAnsi="Calibri"/>
          <w:color w:val="595959" w:themeColor="text1" w:themeTint="A6"/>
          <w:lang w:eastAsia="en-GB"/>
        </w:rPr>
        <w:t>finished products of iron, ordinary steel or special steel:</w:t>
      </w:r>
      <w:r w:rsidR="000D0198" w:rsidRPr="004F4EE7">
        <w:rPr>
          <w:rFonts w:ascii="Calibri" w:hAnsi="Calibri"/>
          <w:color w:val="595959" w:themeColor="text1" w:themeTint="A6"/>
          <w:lang w:eastAsia="en-GB"/>
        </w:rPr>
        <w:t xml:space="preserve"> </w:t>
      </w:r>
      <w:r w:rsidR="00AE4653" w:rsidRPr="004F4EE7">
        <w:rPr>
          <w:rFonts w:ascii="Calibri" w:hAnsi="Calibri"/>
          <w:color w:val="595959" w:themeColor="text1" w:themeTint="A6"/>
          <w:lang w:eastAsia="en-GB"/>
        </w:rPr>
        <w:t>liquid steel cast or not cast into ingots, including ingots for forging semi</w:t>
      </w:r>
      <w:r w:rsidRPr="004F4EE7">
        <w:rPr>
          <w:rFonts w:ascii="Calibri" w:hAnsi="Calibri"/>
          <w:color w:val="595959" w:themeColor="text1" w:themeTint="A6"/>
          <w:lang w:eastAsia="en-GB"/>
        </w:rPr>
        <w:t>-</w:t>
      </w:r>
      <w:r w:rsidR="00AE4653" w:rsidRPr="004F4EE7">
        <w:rPr>
          <w:rFonts w:ascii="Calibri" w:hAnsi="Calibri"/>
          <w:color w:val="595959" w:themeColor="text1" w:themeTint="A6"/>
          <w:lang w:eastAsia="en-GB"/>
        </w:rPr>
        <w:t>finished products: blooms, billets and slabs; sheet bars and tinplate</w:t>
      </w:r>
      <w:r w:rsidR="000D0198" w:rsidRPr="004F4EE7">
        <w:rPr>
          <w:rFonts w:ascii="Calibri" w:hAnsi="Calibri"/>
          <w:color w:val="595959" w:themeColor="text1" w:themeTint="A6"/>
          <w:lang w:eastAsia="en-GB"/>
        </w:rPr>
        <w:t xml:space="preserve"> </w:t>
      </w:r>
      <w:r w:rsidR="00AE4653" w:rsidRPr="004F4EE7">
        <w:rPr>
          <w:rFonts w:ascii="Calibri" w:hAnsi="Calibri"/>
          <w:color w:val="595959" w:themeColor="text1" w:themeTint="A6"/>
          <w:lang w:eastAsia="en-GB"/>
        </w:rPr>
        <w:t>bars; hot-rolled wide coils, with the exception of production of liquid</w:t>
      </w:r>
      <w:r w:rsidR="000D0198" w:rsidRPr="004F4EE7">
        <w:rPr>
          <w:rFonts w:ascii="Calibri" w:hAnsi="Calibri"/>
          <w:color w:val="595959" w:themeColor="text1" w:themeTint="A6"/>
          <w:lang w:eastAsia="en-GB"/>
        </w:rPr>
        <w:t xml:space="preserve"> </w:t>
      </w:r>
      <w:r w:rsidR="00AE4653" w:rsidRPr="004F4EE7">
        <w:rPr>
          <w:rFonts w:ascii="Calibri" w:hAnsi="Calibri"/>
          <w:color w:val="595959" w:themeColor="text1" w:themeTint="A6"/>
          <w:lang w:eastAsia="en-GB"/>
        </w:rPr>
        <w:t>steel for castings from small a</w:t>
      </w:r>
      <w:r w:rsidR="00854ED5" w:rsidRPr="004F4EE7">
        <w:rPr>
          <w:rFonts w:ascii="Calibri" w:hAnsi="Calibri"/>
          <w:color w:val="595959" w:themeColor="text1" w:themeTint="A6"/>
          <w:lang w:eastAsia="en-GB"/>
        </w:rPr>
        <w:t>nd medium-sized foundries</w:t>
      </w:r>
    </w:p>
    <w:p w:rsidR="00AE4653" w:rsidRPr="004F4EE7" w:rsidRDefault="00AE4653" w:rsidP="00F61707">
      <w:pPr>
        <w:pStyle w:val="ListParagraph"/>
        <w:numPr>
          <w:ilvl w:val="0"/>
          <w:numId w:val="16"/>
        </w:numPr>
        <w:rPr>
          <w:rFonts w:ascii="Calibri" w:hAnsi="Calibri"/>
          <w:color w:val="595959" w:themeColor="text1" w:themeTint="A6"/>
          <w:lang w:eastAsia="en-GB"/>
        </w:rPr>
      </w:pPr>
      <w:r w:rsidRPr="004F4EE7">
        <w:rPr>
          <w:rFonts w:ascii="Calibri" w:hAnsi="Calibri"/>
          <w:color w:val="595959" w:themeColor="text1" w:themeTint="A6"/>
          <w:lang w:eastAsia="en-GB"/>
        </w:rPr>
        <w:t>hot finished products of iron, ordinary steel or special steel: rails,</w:t>
      </w:r>
      <w:r w:rsidR="000D0198" w:rsidRPr="004F4EE7">
        <w:rPr>
          <w:rFonts w:ascii="Calibri" w:hAnsi="Calibri"/>
          <w:color w:val="595959" w:themeColor="text1" w:themeTint="A6"/>
          <w:lang w:eastAsia="en-GB"/>
        </w:rPr>
        <w:t xml:space="preserve"> </w:t>
      </w:r>
      <w:r w:rsidRPr="004F4EE7">
        <w:rPr>
          <w:rFonts w:ascii="Calibri" w:hAnsi="Calibri"/>
          <w:color w:val="595959" w:themeColor="text1" w:themeTint="A6"/>
          <w:lang w:eastAsia="en-GB"/>
        </w:rPr>
        <w:t>sleepers, fishplates, soleplates, joists, heavy sections 80 mm and over,</w:t>
      </w:r>
      <w:r w:rsidR="000D0198" w:rsidRPr="004F4EE7">
        <w:rPr>
          <w:rFonts w:ascii="Calibri" w:hAnsi="Calibri"/>
          <w:color w:val="595959" w:themeColor="text1" w:themeTint="A6"/>
          <w:lang w:eastAsia="en-GB"/>
        </w:rPr>
        <w:t xml:space="preserve"> </w:t>
      </w:r>
      <w:r w:rsidRPr="004F4EE7">
        <w:rPr>
          <w:rFonts w:ascii="Calibri" w:hAnsi="Calibri"/>
          <w:color w:val="595959" w:themeColor="text1" w:themeTint="A6"/>
          <w:lang w:eastAsia="en-GB"/>
        </w:rPr>
        <w:t>sheet piling, bars and sections of less than 80 mm and flats of less</w:t>
      </w:r>
      <w:r w:rsidR="000D0198" w:rsidRPr="004F4EE7">
        <w:rPr>
          <w:rFonts w:ascii="Calibri" w:hAnsi="Calibri"/>
          <w:color w:val="595959" w:themeColor="text1" w:themeTint="A6"/>
          <w:lang w:eastAsia="en-GB"/>
        </w:rPr>
        <w:t xml:space="preserve"> </w:t>
      </w:r>
      <w:r w:rsidRPr="004F4EE7">
        <w:rPr>
          <w:rFonts w:ascii="Calibri" w:hAnsi="Calibri"/>
          <w:color w:val="595959" w:themeColor="text1" w:themeTint="A6"/>
          <w:lang w:eastAsia="en-GB"/>
        </w:rPr>
        <w:t>than 150 mm, wire rod, tube rounds and squares, hot-rolled hoop and</w:t>
      </w:r>
      <w:r w:rsidR="000D0198" w:rsidRPr="004F4EE7">
        <w:rPr>
          <w:rFonts w:ascii="Calibri" w:hAnsi="Calibri"/>
          <w:color w:val="595959" w:themeColor="text1" w:themeTint="A6"/>
          <w:lang w:eastAsia="en-GB"/>
        </w:rPr>
        <w:t xml:space="preserve"> </w:t>
      </w:r>
      <w:r w:rsidRPr="004F4EE7">
        <w:rPr>
          <w:rFonts w:ascii="Calibri" w:hAnsi="Calibri"/>
          <w:color w:val="595959" w:themeColor="text1" w:themeTint="A6"/>
          <w:lang w:eastAsia="en-GB"/>
        </w:rPr>
        <w:t>strip (including tube strip), hot-rolled sheet (coated or uncoated), plates</w:t>
      </w:r>
      <w:r w:rsidR="000D0198" w:rsidRPr="004F4EE7">
        <w:rPr>
          <w:rFonts w:ascii="Calibri" w:hAnsi="Calibri"/>
          <w:color w:val="595959" w:themeColor="text1" w:themeTint="A6"/>
          <w:lang w:eastAsia="en-GB"/>
        </w:rPr>
        <w:t xml:space="preserve"> </w:t>
      </w:r>
      <w:r w:rsidRPr="004F4EE7">
        <w:rPr>
          <w:rFonts w:ascii="Calibri" w:hAnsi="Calibri"/>
          <w:color w:val="595959" w:themeColor="text1" w:themeTint="A6"/>
          <w:lang w:eastAsia="en-GB"/>
        </w:rPr>
        <w:t>and sheets of 3 mm thickness and over, universal plates of 150 mm</w:t>
      </w:r>
      <w:r w:rsidR="000D0198" w:rsidRPr="004F4EE7">
        <w:rPr>
          <w:rFonts w:ascii="Calibri" w:hAnsi="Calibri"/>
          <w:color w:val="595959" w:themeColor="text1" w:themeTint="A6"/>
          <w:lang w:eastAsia="en-GB"/>
        </w:rPr>
        <w:t xml:space="preserve"> </w:t>
      </w:r>
      <w:r w:rsidRPr="004F4EE7">
        <w:rPr>
          <w:rFonts w:ascii="Calibri" w:hAnsi="Calibri"/>
          <w:color w:val="595959" w:themeColor="text1" w:themeTint="A6"/>
          <w:lang w:eastAsia="en-GB"/>
        </w:rPr>
        <w:t>and over, with the exception of wire and wire products, bright bars and</w:t>
      </w:r>
      <w:r w:rsidR="000D0198" w:rsidRPr="004F4EE7">
        <w:rPr>
          <w:rFonts w:ascii="Calibri" w:hAnsi="Calibri"/>
          <w:color w:val="595959" w:themeColor="text1" w:themeTint="A6"/>
          <w:lang w:eastAsia="en-GB"/>
        </w:rPr>
        <w:t xml:space="preserve"> </w:t>
      </w:r>
      <w:r w:rsidR="00854ED5" w:rsidRPr="004F4EE7">
        <w:rPr>
          <w:rFonts w:ascii="Calibri" w:hAnsi="Calibri"/>
          <w:color w:val="595959" w:themeColor="text1" w:themeTint="A6"/>
          <w:lang w:eastAsia="en-GB"/>
        </w:rPr>
        <w:t>iron castings</w:t>
      </w:r>
    </w:p>
    <w:p w:rsidR="00AE4653" w:rsidRPr="004F4EE7" w:rsidRDefault="00AE4653" w:rsidP="00F61707">
      <w:pPr>
        <w:pStyle w:val="ListParagraph"/>
        <w:numPr>
          <w:ilvl w:val="0"/>
          <w:numId w:val="16"/>
        </w:numPr>
        <w:rPr>
          <w:rFonts w:ascii="Calibri" w:hAnsi="Calibri"/>
          <w:color w:val="595959" w:themeColor="text1" w:themeTint="A6"/>
          <w:lang w:eastAsia="en-GB"/>
        </w:rPr>
      </w:pPr>
      <w:r w:rsidRPr="004F4EE7">
        <w:rPr>
          <w:rFonts w:ascii="Calibri" w:hAnsi="Calibri"/>
          <w:color w:val="595959" w:themeColor="text1" w:themeTint="A6"/>
          <w:lang w:eastAsia="en-GB"/>
        </w:rPr>
        <w:t>cold finished products: tinplate, terneplate, blackplate, galvanized</w:t>
      </w:r>
      <w:r w:rsidR="000D0198" w:rsidRPr="004F4EE7">
        <w:rPr>
          <w:rFonts w:ascii="Calibri" w:hAnsi="Calibri"/>
          <w:color w:val="595959" w:themeColor="text1" w:themeTint="A6"/>
          <w:lang w:eastAsia="en-GB"/>
        </w:rPr>
        <w:t xml:space="preserve"> </w:t>
      </w:r>
      <w:r w:rsidRPr="004F4EE7">
        <w:rPr>
          <w:rFonts w:ascii="Calibri" w:hAnsi="Calibri"/>
          <w:color w:val="595959" w:themeColor="text1" w:themeTint="A6"/>
          <w:lang w:eastAsia="en-GB"/>
        </w:rPr>
        <w:t>sheets, other coated sheets, cold-rolled sheets, electrical sheets and</w:t>
      </w:r>
      <w:r w:rsidR="000D0198" w:rsidRPr="004F4EE7">
        <w:rPr>
          <w:rFonts w:ascii="Calibri" w:hAnsi="Calibri"/>
          <w:color w:val="595959" w:themeColor="text1" w:themeTint="A6"/>
          <w:lang w:eastAsia="en-GB"/>
        </w:rPr>
        <w:t xml:space="preserve"> </w:t>
      </w:r>
      <w:r w:rsidRPr="004F4EE7">
        <w:rPr>
          <w:rFonts w:ascii="Calibri" w:hAnsi="Calibri"/>
          <w:color w:val="595959" w:themeColor="text1" w:themeTint="A6"/>
          <w:lang w:eastAsia="en-GB"/>
        </w:rPr>
        <w:t>strip for tinplate, cold-rol</w:t>
      </w:r>
      <w:r w:rsidR="00854ED5" w:rsidRPr="004F4EE7">
        <w:rPr>
          <w:rFonts w:ascii="Calibri" w:hAnsi="Calibri"/>
          <w:color w:val="595959" w:themeColor="text1" w:themeTint="A6"/>
          <w:lang w:eastAsia="en-GB"/>
        </w:rPr>
        <w:t>led plate, in coil and in strip</w:t>
      </w:r>
    </w:p>
    <w:p w:rsidR="0019400B" w:rsidRPr="004F4EE7" w:rsidRDefault="00AE4653" w:rsidP="00F61707">
      <w:pPr>
        <w:pStyle w:val="ListParagraph"/>
        <w:numPr>
          <w:ilvl w:val="0"/>
          <w:numId w:val="16"/>
        </w:numPr>
        <w:rPr>
          <w:rFonts w:ascii="Calibri" w:hAnsi="Calibri"/>
          <w:color w:val="595959" w:themeColor="text1" w:themeTint="A6"/>
        </w:rPr>
        <w:sectPr w:rsidR="0019400B" w:rsidRPr="004F4EE7" w:rsidSect="00081966">
          <w:headerReference w:type="default" r:id="rId21"/>
          <w:pgSz w:w="11906" w:h="16838" w:code="9"/>
          <w:pgMar w:top="1701" w:right="1134" w:bottom="1134" w:left="1134" w:header="709" w:footer="113" w:gutter="0"/>
          <w:cols w:space="708"/>
          <w:docGrid w:linePitch="360"/>
        </w:sectPr>
      </w:pPr>
      <w:r w:rsidRPr="004F4EE7">
        <w:rPr>
          <w:rFonts w:ascii="Calibri" w:hAnsi="Calibri"/>
          <w:color w:val="595959" w:themeColor="text1" w:themeTint="A6"/>
          <w:lang w:eastAsia="en-GB"/>
        </w:rPr>
        <w:t>tubes: all seamless steel tubes, welded steel tubes with a diameter of</w:t>
      </w:r>
      <w:r w:rsidR="000D0198" w:rsidRPr="004F4EE7">
        <w:rPr>
          <w:rFonts w:ascii="Calibri" w:hAnsi="Calibri"/>
          <w:color w:val="595959" w:themeColor="text1" w:themeTint="A6"/>
          <w:lang w:eastAsia="en-GB"/>
        </w:rPr>
        <w:t xml:space="preserve"> </w:t>
      </w:r>
      <w:r w:rsidR="00854ED5" w:rsidRPr="004F4EE7">
        <w:rPr>
          <w:rFonts w:ascii="Calibri" w:hAnsi="Calibri"/>
          <w:color w:val="595959" w:themeColor="text1" w:themeTint="A6"/>
          <w:lang w:eastAsia="en-GB"/>
        </w:rPr>
        <w:t>over 406.4 mm</w:t>
      </w:r>
    </w:p>
    <w:p w:rsidR="0019400B" w:rsidRPr="004F4EE7" w:rsidRDefault="0019400B" w:rsidP="00854ED5">
      <w:pPr>
        <w:pStyle w:val="Heading1"/>
        <w:rPr>
          <w:rFonts w:ascii="Calibri" w:hAnsi="Calibri"/>
        </w:rPr>
      </w:pPr>
      <w:bookmarkStart w:id="89" w:name="_Toc349308522"/>
      <w:r w:rsidRPr="004F4EE7">
        <w:rPr>
          <w:rFonts w:ascii="Calibri" w:hAnsi="Calibri"/>
        </w:rPr>
        <w:lastRenderedPageBreak/>
        <w:t>ANNEX B</w:t>
      </w:r>
      <w:r w:rsidR="00E51202" w:rsidRPr="004F4EE7">
        <w:rPr>
          <w:rFonts w:ascii="Calibri" w:hAnsi="Calibri"/>
        </w:rPr>
        <w:t>: “ANNEX 1” AGRICULTURAL PRODUCTS</w:t>
      </w:r>
      <w:bookmarkEnd w:id="89"/>
    </w:p>
    <w:p w:rsidR="0019400B" w:rsidRPr="004F4EE7" w:rsidRDefault="0019400B">
      <w:pPr>
        <w:rPr>
          <w:rFonts w:ascii="Calibri" w:hAnsi="Calibri" w:cs="Arial"/>
          <w:b/>
          <w:color w:val="595959" w:themeColor="text1" w:themeTint="A6"/>
        </w:rPr>
      </w:pPr>
    </w:p>
    <w:p w:rsidR="00977B01" w:rsidRPr="004F4EE7" w:rsidRDefault="00977B01" w:rsidP="00977B01">
      <w:pPr>
        <w:rPr>
          <w:rFonts w:ascii="Calibri" w:hAnsi="Calibri" w:cs="Arial"/>
          <w:color w:val="595959" w:themeColor="text1" w:themeTint="A6"/>
        </w:rPr>
      </w:pPr>
      <w:r w:rsidRPr="004F4EE7">
        <w:rPr>
          <w:rFonts w:ascii="Calibri" w:hAnsi="Calibri" w:cs="Arial"/>
          <w:color w:val="595959" w:themeColor="text1" w:themeTint="A6"/>
        </w:rPr>
        <w:t>The following list contains descriptions of the agricultural products found in Annex I of the European Treaty:</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Live animals</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Meat and edible meat offal</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Fish, crustaceans and molluscs</w:t>
      </w:r>
    </w:p>
    <w:p w:rsidR="00977B01" w:rsidRPr="004F4EE7" w:rsidRDefault="00253FED"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Dairy produce, birds’ eggs,</w:t>
      </w:r>
      <w:r w:rsidR="00977B01" w:rsidRPr="004F4EE7">
        <w:rPr>
          <w:rFonts w:ascii="Calibri" w:hAnsi="Calibri"/>
          <w:color w:val="595959" w:themeColor="text1" w:themeTint="A6"/>
        </w:rPr>
        <w:t xml:space="preserve"> natural honey</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Guts, bladders and stomachs of animals (other than fish), whole and pieces thereof</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Animal products not elsewhere specified or included; dead animals of Chapter 1 or Chapter 3, unfit for human consumption</w:t>
      </w:r>
    </w:p>
    <w:p w:rsidR="00977B01" w:rsidRPr="004F4EE7" w:rsidRDefault="00253FED"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Live trees and other plants, bulbs, roots and the like,</w:t>
      </w:r>
      <w:r w:rsidR="00977B01" w:rsidRPr="004F4EE7">
        <w:rPr>
          <w:rFonts w:ascii="Calibri" w:hAnsi="Calibri"/>
          <w:color w:val="595959" w:themeColor="text1" w:themeTint="A6"/>
        </w:rPr>
        <w:t xml:space="preserve"> cut flowers and ornamental foliage</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Edible vegetables and certain roots and tubers</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 xml:space="preserve">Edible </w:t>
      </w:r>
      <w:r w:rsidR="00253FED" w:rsidRPr="004F4EE7">
        <w:rPr>
          <w:rFonts w:ascii="Calibri" w:hAnsi="Calibri"/>
          <w:color w:val="595959" w:themeColor="text1" w:themeTint="A6"/>
        </w:rPr>
        <w:t>fruit and nuts,</w:t>
      </w:r>
      <w:r w:rsidRPr="004F4EE7">
        <w:rPr>
          <w:rFonts w:ascii="Calibri" w:hAnsi="Calibri"/>
          <w:color w:val="595959" w:themeColor="text1" w:themeTint="A6"/>
        </w:rPr>
        <w:t xml:space="preserve"> peel of melons or citrus fruit</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Coffee, tea and spices, excluding maté (heading No 09.03)</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Cereals</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P</w:t>
      </w:r>
      <w:r w:rsidR="00253FED" w:rsidRPr="004F4EE7">
        <w:rPr>
          <w:rFonts w:ascii="Calibri" w:hAnsi="Calibri"/>
          <w:color w:val="595959" w:themeColor="text1" w:themeTint="A6"/>
        </w:rPr>
        <w:t xml:space="preserve">roducts of the milling industry, malt and starches, gluten, </w:t>
      </w:r>
      <w:r w:rsidRPr="004F4EE7">
        <w:rPr>
          <w:rFonts w:ascii="Calibri" w:hAnsi="Calibri"/>
          <w:color w:val="595959" w:themeColor="text1" w:themeTint="A6"/>
        </w:rPr>
        <w:t>inulin</w:t>
      </w:r>
    </w:p>
    <w:p w:rsidR="00977B01" w:rsidRPr="004F4EE7" w:rsidRDefault="00253FED"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Oil seeds and oleaginous fruit,</w:t>
      </w:r>
      <w:r w:rsidR="00977B01" w:rsidRPr="004F4EE7">
        <w:rPr>
          <w:rFonts w:ascii="Calibri" w:hAnsi="Calibri"/>
          <w:color w:val="595959" w:themeColor="text1" w:themeTint="A6"/>
        </w:rPr>
        <w:t xml:space="preserve"> miscel</w:t>
      </w:r>
      <w:r w:rsidRPr="004F4EE7">
        <w:rPr>
          <w:rFonts w:ascii="Calibri" w:hAnsi="Calibri"/>
          <w:color w:val="595959" w:themeColor="text1" w:themeTint="A6"/>
        </w:rPr>
        <w:t>laneous grains, seeds and fruit,</w:t>
      </w:r>
      <w:r w:rsidR="00977B01" w:rsidRPr="004F4EE7">
        <w:rPr>
          <w:rFonts w:ascii="Calibri" w:hAnsi="Calibri"/>
          <w:color w:val="595959" w:themeColor="text1" w:themeTint="A6"/>
        </w:rPr>
        <w:t xml:space="preserve"> indu</w:t>
      </w:r>
      <w:r w:rsidRPr="004F4EE7">
        <w:rPr>
          <w:rFonts w:ascii="Calibri" w:hAnsi="Calibri"/>
          <w:color w:val="595959" w:themeColor="text1" w:themeTint="A6"/>
        </w:rPr>
        <w:t>strial and medical plants,</w:t>
      </w:r>
      <w:r w:rsidR="00977B01" w:rsidRPr="004F4EE7">
        <w:rPr>
          <w:rFonts w:ascii="Calibri" w:hAnsi="Calibri"/>
          <w:color w:val="595959" w:themeColor="text1" w:themeTint="A6"/>
        </w:rPr>
        <w:t xml:space="preserve"> straw and fodder</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Pectin</w:t>
      </w:r>
    </w:p>
    <w:p w:rsidR="00977B01" w:rsidRPr="004F4EE7" w:rsidRDefault="00253FED"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Lard and other rendered pig fat,</w:t>
      </w:r>
      <w:r w:rsidR="00977B01" w:rsidRPr="004F4EE7">
        <w:rPr>
          <w:rFonts w:ascii="Calibri" w:hAnsi="Calibri"/>
          <w:color w:val="595959" w:themeColor="text1" w:themeTint="A6"/>
        </w:rPr>
        <w:t xml:space="preserve"> rendered poultry fat</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Unrendered fats o</w:t>
      </w:r>
      <w:r w:rsidR="00253FED" w:rsidRPr="004F4EE7">
        <w:rPr>
          <w:rFonts w:ascii="Calibri" w:hAnsi="Calibri"/>
          <w:color w:val="595959" w:themeColor="text1" w:themeTint="A6"/>
        </w:rPr>
        <w:t>f bovine cattle, sheep or goats,</w:t>
      </w:r>
      <w:r w:rsidRPr="004F4EE7">
        <w:rPr>
          <w:rFonts w:ascii="Calibri" w:hAnsi="Calibri"/>
          <w:color w:val="595959" w:themeColor="text1" w:themeTint="A6"/>
        </w:rPr>
        <w:t xml:space="preserve"> tallow (including `premier jus’) produced from those fats</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Lard stearin, oleostearin and tallow steari</w:t>
      </w:r>
      <w:r w:rsidR="00253FED" w:rsidRPr="004F4EE7">
        <w:rPr>
          <w:rFonts w:ascii="Calibri" w:hAnsi="Calibri"/>
          <w:color w:val="595959" w:themeColor="text1" w:themeTint="A6"/>
        </w:rPr>
        <w:t>n,</w:t>
      </w:r>
      <w:r w:rsidRPr="004F4EE7">
        <w:rPr>
          <w:rFonts w:ascii="Calibri" w:hAnsi="Calibri"/>
          <w:color w:val="595959" w:themeColor="text1" w:themeTint="A6"/>
        </w:rPr>
        <w:t xml:space="preserve"> lard oil, oleo-oil and tallow oil, not emulsified or mixed or prepared in any way</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Fats and oil, of fish and marine mammals, whether or not refined</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Fixed vegetable oils, fluid or solid, crude, refined or purified</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Animal or vegetable fats and oils, hydrogenated, whether or not refined, but not further prepared</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Margarine, imitation lard and other prepared edible fats</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Residues resulting from the treatment of fatty substances or animal or vegetable waxes</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Preparations of meat, of fish, of crustaceans or molluscs</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Beet sugar and cane sugar, solid</w:t>
      </w:r>
    </w:p>
    <w:p w:rsidR="00977B01" w:rsidRPr="004F4EE7" w:rsidRDefault="00253FED"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Other sugars; sugar syrups,</w:t>
      </w:r>
      <w:r w:rsidR="00977B01" w:rsidRPr="004F4EE7">
        <w:rPr>
          <w:rFonts w:ascii="Calibri" w:hAnsi="Calibri"/>
          <w:color w:val="595959" w:themeColor="text1" w:themeTint="A6"/>
        </w:rPr>
        <w:t xml:space="preserve"> artificial honey (whether o</w:t>
      </w:r>
      <w:r w:rsidRPr="004F4EE7">
        <w:rPr>
          <w:rFonts w:ascii="Calibri" w:hAnsi="Calibri"/>
          <w:color w:val="595959" w:themeColor="text1" w:themeTint="A6"/>
        </w:rPr>
        <w:t>r not mixed with natural honey),</w:t>
      </w:r>
      <w:r w:rsidR="00977B01" w:rsidRPr="004F4EE7">
        <w:rPr>
          <w:rFonts w:ascii="Calibri" w:hAnsi="Calibri"/>
          <w:color w:val="595959" w:themeColor="text1" w:themeTint="A6"/>
        </w:rPr>
        <w:t xml:space="preserve"> caramel</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Molasses, whether or not decolourised</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Flavoured or coloured sugars, syrups and molasses, but not including fruit juices containing added sugar in any proportion</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Cocoa beans, whole or broken, raw or roasted</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Cocoa shells, husks, skins and waste</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Preparations of vegetables, fruit or other parts of plants</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Grape must, in fermentation or with fermentation arrested otherwise than by the addition of alcohol</w:t>
      </w:r>
    </w:p>
    <w:p w:rsidR="00977B01" w:rsidRPr="004F4EE7" w:rsidRDefault="00253FED"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Wine of fresh grapes,</w:t>
      </w:r>
      <w:r w:rsidR="00977B01" w:rsidRPr="004F4EE7">
        <w:rPr>
          <w:rFonts w:ascii="Calibri" w:hAnsi="Calibri"/>
          <w:color w:val="595959" w:themeColor="text1" w:themeTint="A6"/>
        </w:rPr>
        <w:t xml:space="preserve"> grape must with fermentation arrested by the addition of alcohol</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Other fermented beverages (for example, cider, perry and mead)</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Ethyl alcohol or neutral spirits, whether or not denatured, of any strength, obtained from agricultural products listed in Annex I to the Treaty, excluding liqueurs and other spirituous beverages and compound alcoholic preparations (known as `concentrated extracts’) for the manufacture of beverages</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Vinegar and substitutes for vinegar</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Residues and</w:t>
      </w:r>
      <w:r w:rsidR="00253FED" w:rsidRPr="004F4EE7">
        <w:rPr>
          <w:rFonts w:ascii="Calibri" w:hAnsi="Calibri"/>
          <w:color w:val="595959" w:themeColor="text1" w:themeTint="A6"/>
        </w:rPr>
        <w:t xml:space="preserve"> waste from the food industries,</w:t>
      </w:r>
      <w:r w:rsidRPr="004F4EE7">
        <w:rPr>
          <w:rFonts w:ascii="Calibri" w:hAnsi="Calibri"/>
          <w:color w:val="595959" w:themeColor="text1" w:themeTint="A6"/>
        </w:rPr>
        <w:t xml:space="preserve"> prepared animal fodder</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Unmanufactured tobacco, tobacco refuse</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Natural cork, unworked, crushed, granulated or ground; waste cork</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Flax, raw or processed but not spun; flax tow and waste (including pulled or garnetted rags)</w:t>
      </w:r>
    </w:p>
    <w:p w:rsidR="00977B01" w:rsidRPr="004F4EE7" w:rsidRDefault="00977B01" w:rsidP="00F61707">
      <w:pPr>
        <w:pStyle w:val="ListParagraph"/>
        <w:numPr>
          <w:ilvl w:val="0"/>
          <w:numId w:val="17"/>
        </w:numPr>
        <w:rPr>
          <w:rFonts w:ascii="Calibri" w:hAnsi="Calibri"/>
          <w:color w:val="595959" w:themeColor="text1" w:themeTint="A6"/>
        </w:rPr>
      </w:pPr>
      <w:r w:rsidRPr="004F4EE7">
        <w:rPr>
          <w:rFonts w:ascii="Calibri" w:hAnsi="Calibri"/>
          <w:color w:val="595959" w:themeColor="text1" w:themeTint="A6"/>
        </w:rPr>
        <w:t>True hemp (Cannabis sativa), raw or processed but not spun; tow and waste of true hemp (including pulled or garnetted rags or ropes)</w:t>
      </w:r>
    </w:p>
    <w:p w:rsidR="00977B01" w:rsidRPr="004F4EE7" w:rsidRDefault="00977B01" w:rsidP="00977B01">
      <w:pPr>
        <w:rPr>
          <w:rFonts w:ascii="Calibri" w:hAnsi="Calibri" w:cs="Arial"/>
          <w:b/>
          <w:bCs/>
          <w:color w:val="595959" w:themeColor="text1" w:themeTint="A6"/>
        </w:rPr>
      </w:pPr>
      <w:r w:rsidRPr="004F4EE7">
        <w:rPr>
          <w:rFonts w:ascii="Calibri" w:hAnsi="Calibri" w:cs="Arial"/>
          <w:b/>
          <w:bCs/>
          <w:color w:val="595959" w:themeColor="text1" w:themeTint="A6"/>
        </w:rPr>
        <w:t>Non- “Annex I” products</w:t>
      </w:r>
    </w:p>
    <w:p w:rsidR="00977B01" w:rsidRPr="004F4EE7" w:rsidRDefault="00977B01" w:rsidP="00977B01">
      <w:pPr>
        <w:rPr>
          <w:rFonts w:ascii="Calibri" w:hAnsi="Calibri" w:cs="Arial"/>
          <w:color w:val="595959" w:themeColor="text1" w:themeTint="A6"/>
        </w:rPr>
      </w:pPr>
      <w:r w:rsidRPr="004F4EE7">
        <w:rPr>
          <w:rFonts w:ascii="Calibri" w:hAnsi="Calibri" w:cs="Arial"/>
          <w:color w:val="595959" w:themeColor="text1" w:themeTint="A6"/>
        </w:rPr>
        <w:lastRenderedPageBreak/>
        <w:t>It is not possible to provide an exclusive definition of the term ``non-Annex I good’’ since it represents all goods not listed in Annex I of the Treaty of Rome i.e. those which are made by processing the agricultural products listed in the basic agricultural product Regulations. Thus it covers the vast majority of manufactured foods. As a general guide, the term can be taken to include:</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ready meals</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bakery products</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flavoured yoghurts</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frozen sweet corn</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margarine (some)</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sugar confectionery</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chocolate confectionery</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malt extract</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pasta</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breakfast cereals</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ice cream</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bread</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biscuits</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sandwiches</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snack products</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frozen desserts</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pizzas</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potato crisps</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tinned sweet corn</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peanut butter</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sauces</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soups</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mineral water</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soft drinks</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spirits</w:t>
      </w:r>
    </w:p>
    <w:p w:rsidR="00977B01" w:rsidRPr="004F4EE7" w:rsidRDefault="00977B01" w:rsidP="00F61707">
      <w:pPr>
        <w:pStyle w:val="ListParagraph"/>
        <w:numPr>
          <w:ilvl w:val="0"/>
          <w:numId w:val="18"/>
        </w:numPr>
        <w:rPr>
          <w:rFonts w:ascii="Calibri" w:hAnsi="Calibri"/>
          <w:color w:val="595959" w:themeColor="text1" w:themeTint="A6"/>
        </w:rPr>
      </w:pPr>
      <w:r w:rsidRPr="004F4EE7">
        <w:rPr>
          <w:rFonts w:ascii="Calibri" w:hAnsi="Calibri"/>
          <w:color w:val="595959" w:themeColor="text1" w:themeTint="A6"/>
        </w:rPr>
        <w:t>beer</w:t>
      </w:r>
    </w:p>
    <w:p w:rsidR="00977B01" w:rsidRPr="004F4EE7" w:rsidRDefault="00977B01" w:rsidP="00977B01">
      <w:pPr>
        <w:rPr>
          <w:rFonts w:ascii="Calibri" w:hAnsi="Calibri" w:cs="Arial"/>
          <w:b/>
          <w:bCs/>
          <w:color w:val="595959" w:themeColor="text1" w:themeTint="A6"/>
        </w:rPr>
      </w:pPr>
      <w:r w:rsidRPr="004F4EE7">
        <w:rPr>
          <w:rFonts w:ascii="Calibri" w:hAnsi="Calibri" w:cs="Arial"/>
          <w:b/>
          <w:bCs/>
          <w:color w:val="595959" w:themeColor="text1" w:themeTint="A6"/>
        </w:rPr>
        <w:t>Exceptions</w:t>
      </w:r>
    </w:p>
    <w:p w:rsidR="00977B01" w:rsidRPr="004F4EE7" w:rsidRDefault="00977B01" w:rsidP="00977B01">
      <w:pPr>
        <w:rPr>
          <w:rFonts w:ascii="Calibri" w:hAnsi="Calibri" w:cs="Arial"/>
          <w:color w:val="595959" w:themeColor="text1" w:themeTint="A6"/>
        </w:rPr>
      </w:pPr>
      <w:r w:rsidRPr="004F4EE7">
        <w:rPr>
          <w:rFonts w:ascii="Calibri" w:hAnsi="Calibri" w:cs="Arial"/>
          <w:color w:val="595959" w:themeColor="text1" w:themeTint="A6"/>
        </w:rPr>
        <w:t>The following processed foods are specif</w:t>
      </w:r>
      <w:r w:rsidR="006E0EC4" w:rsidRPr="004F4EE7">
        <w:rPr>
          <w:rFonts w:ascii="Calibri" w:hAnsi="Calibri" w:cs="Arial"/>
          <w:color w:val="595959" w:themeColor="text1" w:themeTint="A6"/>
        </w:rPr>
        <w:t>ically excepted from the term ”</w:t>
      </w:r>
      <w:r w:rsidRPr="004F4EE7">
        <w:rPr>
          <w:rFonts w:ascii="Calibri" w:hAnsi="Calibri" w:cs="Arial"/>
          <w:color w:val="595959" w:themeColor="text1" w:themeTint="A6"/>
        </w:rPr>
        <w:t>non-Annex I good’’:</w:t>
      </w:r>
    </w:p>
    <w:p w:rsidR="00977B01" w:rsidRPr="004F4EE7" w:rsidRDefault="00977B01" w:rsidP="00F61707">
      <w:pPr>
        <w:pStyle w:val="ListParagraph"/>
        <w:numPr>
          <w:ilvl w:val="0"/>
          <w:numId w:val="19"/>
        </w:numPr>
        <w:rPr>
          <w:rFonts w:ascii="Calibri" w:hAnsi="Calibri"/>
          <w:color w:val="595959" w:themeColor="text1" w:themeTint="A6"/>
        </w:rPr>
      </w:pPr>
      <w:r w:rsidRPr="004F4EE7">
        <w:rPr>
          <w:rFonts w:ascii="Calibri" w:hAnsi="Calibri"/>
          <w:color w:val="595959" w:themeColor="text1" w:themeTint="A6"/>
        </w:rPr>
        <w:t>goods covered by the processed fruit and vegetable regime (for example, orange juice, tomato paste)</w:t>
      </w:r>
    </w:p>
    <w:p w:rsidR="0019400B" w:rsidRPr="004F4EE7" w:rsidRDefault="006E0EC4" w:rsidP="00F61707">
      <w:pPr>
        <w:pStyle w:val="ListParagraph"/>
        <w:numPr>
          <w:ilvl w:val="0"/>
          <w:numId w:val="19"/>
        </w:numPr>
        <w:rPr>
          <w:rFonts w:ascii="Calibri" w:hAnsi="Calibri"/>
          <w:color w:val="595959" w:themeColor="text1" w:themeTint="A6"/>
        </w:rPr>
      </w:pPr>
      <w:r w:rsidRPr="004F4EE7">
        <w:rPr>
          <w:rFonts w:ascii="Calibri" w:hAnsi="Calibri"/>
          <w:color w:val="595959" w:themeColor="text1" w:themeTint="A6"/>
        </w:rPr>
        <w:t xml:space="preserve">first </w:t>
      </w:r>
      <w:r w:rsidR="00977B01" w:rsidRPr="004F4EE7">
        <w:rPr>
          <w:rFonts w:ascii="Calibri" w:hAnsi="Calibri"/>
          <w:color w:val="595959" w:themeColor="text1" w:themeTint="A6"/>
        </w:rPr>
        <w:t>stage processed products listed in the Annex I regimes (for example, cheese, jam, flour)</w:t>
      </w:r>
    </w:p>
    <w:p w:rsidR="0019400B" w:rsidRPr="004F4EE7" w:rsidRDefault="0019400B">
      <w:pPr>
        <w:rPr>
          <w:rFonts w:ascii="Calibri" w:hAnsi="Calibri" w:cs="Arial"/>
          <w:b/>
          <w:color w:val="595959" w:themeColor="text1" w:themeTint="A6"/>
        </w:rPr>
      </w:pPr>
    </w:p>
    <w:p w:rsidR="0019400B" w:rsidRDefault="0019400B">
      <w:pPr>
        <w:rPr>
          <w:rFonts w:ascii="Calibri" w:hAnsi="Calibri" w:cs="Arial"/>
          <w:b/>
          <w:color w:val="595959" w:themeColor="text1" w:themeTint="A6"/>
        </w:rPr>
      </w:pPr>
    </w:p>
    <w:p w:rsidR="00C42964" w:rsidRDefault="00C42964">
      <w:pPr>
        <w:rPr>
          <w:rFonts w:ascii="Calibri" w:hAnsi="Calibri" w:cs="Arial"/>
          <w:b/>
          <w:color w:val="595959" w:themeColor="text1" w:themeTint="A6"/>
        </w:rPr>
      </w:pPr>
    </w:p>
    <w:p w:rsidR="00C42964" w:rsidRDefault="00C42964">
      <w:pPr>
        <w:rPr>
          <w:rFonts w:ascii="Calibri" w:hAnsi="Calibri" w:cs="Arial"/>
          <w:b/>
          <w:color w:val="595959" w:themeColor="text1" w:themeTint="A6"/>
        </w:rPr>
      </w:pPr>
    </w:p>
    <w:p w:rsidR="00C42964" w:rsidRDefault="00C42964">
      <w:pPr>
        <w:rPr>
          <w:rFonts w:ascii="Calibri" w:hAnsi="Calibri" w:cs="Arial"/>
          <w:b/>
          <w:color w:val="595959" w:themeColor="text1" w:themeTint="A6"/>
        </w:rPr>
      </w:pPr>
    </w:p>
    <w:p w:rsidR="00C42964" w:rsidRPr="004F4EE7" w:rsidRDefault="00C42964">
      <w:pPr>
        <w:rPr>
          <w:rFonts w:ascii="Calibri" w:hAnsi="Calibri" w:cs="Arial"/>
          <w:b/>
          <w:color w:val="595959" w:themeColor="text1" w:themeTint="A6"/>
        </w:rPr>
      </w:pPr>
    </w:p>
    <w:p w:rsidR="0019400B" w:rsidRPr="004F4EE7" w:rsidRDefault="0019400B">
      <w:pPr>
        <w:rPr>
          <w:rFonts w:ascii="Calibri" w:hAnsi="Calibri" w:cs="Arial"/>
          <w:b/>
          <w:color w:val="595959" w:themeColor="text1" w:themeTint="A6"/>
        </w:rPr>
      </w:pPr>
    </w:p>
    <w:p w:rsidR="0019400B" w:rsidRPr="004F4EE7" w:rsidRDefault="0019400B">
      <w:pPr>
        <w:rPr>
          <w:rFonts w:ascii="Calibri" w:hAnsi="Calibri" w:cs="Arial"/>
          <w:b/>
          <w:color w:val="595959" w:themeColor="text1" w:themeTint="A6"/>
        </w:rPr>
      </w:pPr>
    </w:p>
    <w:p w:rsidR="0019400B" w:rsidRPr="004F4EE7" w:rsidRDefault="0019400B">
      <w:pPr>
        <w:rPr>
          <w:rFonts w:ascii="Calibri" w:hAnsi="Calibri" w:cs="Arial"/>
          <w:b/>
          <w:color w:val="595959" w:themeColor="text1" w:themeTint="A6"/>
        </w:rPr>
      </w:pPr>
    </w:p>
    <w:p w:rsidR="0019400B" w:rsidRPr="004F4EE7" w:rsidRDefault="00854ED5" w:rsidP="00854ED5">
      <w:pPr>
        <w:pStyle w:val="Heading1"/>
        <w:rPr>
          <w:rFonts w:ascii="Calibri" w:hAnsi="Calibri"/>
        </w:rPr>
      </w:pPr>
      <w:bookmarkStart w:id="90" w:name="_Toc349308523"/>
      <w:r w:rsidRPr="004F4EE7">
        <w:rPr>
          <w:rFonts w:ascii="Calibri" w:hAnsi="Calibri"/>
        </w:rPr>
        <w:lastRenderedPageBreak/>
        <w:t>A</w:t>
      </w:r>
      <w:r w:rsidR="0019400B" w:rsidRPr="004F4EE7">
        <w:rPr>
          <w:rFonts w:ascii="Calibri" w:hAnsi="Calibri"/>
        </w:rPr>
        <w:t>NNEX C</w:t>
      </w:r>
      <w:r w:rsidR="00E51202" w:rsidRPr="004F4EE7">
        <w:rPr>
          <w:rFonts w:ascii="Calibri" w:hAnsi="Calibri"/>
        </w:rPr>
        <w:t xml:space="preserve">: </w:t>
      </w:r>
      <w:r w:rsidR="00612905" w:rsidRPr="004F4EE7">
        <w:rPr>
          <w:rFonts w:ascii="Calibri" w:hAnsi="Calibri"/>
        </w:rPr>
        <w:t>CUMBRIA</w:t>
      </w:r>
      <w:r w:rsidR="00E51202" w:rsidRPr="004F4EE7">
        <w:rPr>
          <w:rFonts w:ascii="Calibri" w:hAnsi="Calibri"/>
        </w:rPr>
        <w:t xml:space="preserve"> </w:t>
      </w:r>
      <w:r w:rsidR="00DC57EB" w:rsidRPr="004F4EE7">
        <w:rPr>
          <w:rFonts w:ascii="Calibri" w:hAnsi="Calibri"/>
        </w:rPr>
        <w:t xml:space="preserve">ASSISTED AREA </w:t>
      </w:r>
      <w:r w:rsidR="00E51202" w:rsidRPr="004F4EE7">
        <w:rPr>
          <w:rFonts w:ascii="Calibri" w:hAnsi="Calibri"/>
        </w:rPr>
        <w:t>WARDS</w:t>
      </w:r>
      <w:bookmarkEnd w:id="90"/>
    </w:p>
    <w:p w:rsidR="0082181B" w:rsidRPr="004F4EE7" w:rsidRDefault="0082181B" w:rsidP="0082181B">
      <w:pPr>
        <w:rPr>
          <w:rFonts w:ascii="Calibri" w:hAnsi="Calibri" w:cs="Arial"/>
          <w:color w:val="595959" w:themeColor="text1" w:themeTint="A6"/>
        </w:rPr>
      </w:pPr>
    </w:p>
    <w:p w:rsidR="0082181B" w:rsidRPr="004F4EE7" w:rsidRDefault="0082181B" w:rsidP="0082181B">
      <w:pPr>
        <w:rPr>
          <w:rFonts w:ascii="Calibri" w:hAnsi="Calibri" w:cs="Arial"/>
          <w:b/>
          <w:color w:val="595959" w:themeColor="text1" w:themeTint="A6"/>
        </w:rPr>
      </w:pPr>
      <w:r w:rsidRPr="004F4EE7">
        <w:rPr>
          <w:rFonts w:ascii="Calibri" w:hAnsi="Calibri" w:cs="Arial"/>
          <w:b/>
          <w:color w:val="595959" w:themeColor="text1" w:themeTint="A6"/>
        </w:rPr>
        <w:t>ASSISTED AREA WARDS</w:t>
      </w:r>
    </w:p>
    <w:p w:rsidR="0082181B" w:rsidRPr="004F4EE7" w:rsidRDefault="000B37D1" w:rsidP="0082181B">
      <w:pPr>
        <w:rPr>
          <w:rFonts w:ascii="Calibri" w:hAnsi="Calibri"/>
          <w:color w:val="595959" w:themeColor="text1" w:themeTint="A6"/>
        </w:rPr>
      </w:pPr>
      <w:r w:rsidRPr="004F4EE7">
        <w:rPr>
          <w:rFonts w:ascii="Calibri" w:hAnsi="Calibri"/>
          <w:color w:val="595959" w:themeColor="text1" w:themeTint="A6"/>
        </w:rPr>
        <w:t xml:space="preserve">Ward boundaries are based on those in effect on 31 December 2011. </w:t>
      </w:r>
      <w:r w:rsidR="002836E4" w:rsidRPr="004F4EE7">
        <w:rPr>
          <w:rFonts w:ascii="Calibri" w:hAnsi="Calibri"/>
          <w:color w:val="595959" w:themeColor="text1" w:themeTint="A6"/>
        </w:rPr>
        <w:t>An interactive map can be found at:</w:t>
      </w:r>
    </w:p>
    <w:p w:rsidR="006E0EC4" w:rsidRPr="004F4EE7" w:rsidRDefault="00F73C3A" w:rsidP="0082181B">
      <w:pPr>
        <w:rPr>
          <w:rFonts w:ascii="Calibri" w:hAnsi="Calibri"/>
          <w:color w:val="595959" w:themeColor="text1" w:themeTint="A6"/>
        </w:rPr>
      </w:pPr>
      <w:hyperlink r:id="rId22" w:history="1">
        <w:r w:rsidR="006E0EC4" w:rsidRPr="004F4EE7">
          <w:rPr>
            <w:rStyle w:val="Hyperlink"/>
            <w:rFonts w:ascii="Calibri" w:hAnsi="Calibri"/>
            <w14:textFill>
              <w14:solidFill>
                <w14:srgbClr w14:val="0000FF">
                  <w14:lumMod w14:val="65000"/>
                  <w14:lumOff w14:val="35000"/>
                </w14:srgbClr>
              </w14:solidFill>
            </w14:textFill>
          </w:rPr>
          <w:t>http://www.ukassistedareasmap.com/</w:t>
        </w:r>
      </w:hyperlink>
    </w:p>
    <w:p w:rsidR="002836E4" w:rsidRPr="004F4EE7" w:rsidRDefault="002836E4" w:rsidP="0082181B">
      <w:pPr>
        <w:rPr>
          <w:rFonts w:ascii="Calibri" w:hAnsi="Calibri"/>
          <w:color w:val="595959" w:themeColor="text1" w:themeTint="A6"/>
        </w:rPr>
      </w:pPr>
      <w:r w:rsidRPr="004F4EE7">
        <w:rPr>
          <w:rFonts w:ascii="Calibri" w:hAnsi="Calibri"/>
          <w:color w:val="595959" w:themeColor="text1" w:themeTint="A6"/>
        </w:rPr>
        <w:t xml:space="preserve">A full list of all assisted wards in the </w:t>
      </w:r>
      <w:r w:rsidR="00612905" w:rsidRPr="004F4EE7">
        <w:rPr>
          <w:rFonts w:ascii="Calibri" w:hAnsi="Calibri"/>
          <w:color w:val="595959" w:themeColor="text1" w:themeTint="A6"/>
        </w:rPr>
        <w:t>Cumbria</w:t>
      </w:r>
      <w:r w:rsidRPr="004F4EE7">
        <w:rPr>
          <w:rFonts w:ascii="Calibri" w:hAnsi="Calibri"/>
          <w:color w:val="595959" w:themeColor="text1" w:themeTint="A6"/>
        </w:rPr>
        <w:t xml:space="preserve"> is set out below by local authority area:</w:t>
      </w:r>
    </w:p>
    <w:p w:rsidR="002836E4" w:rsidRPr="004F4EE7" w:rsidRDefault="003129D6" w:rsidP="0082181B">
      <w:pPr>
        <w:rPr>
          <w:rFonts w:ascii="Calibri" w:hAnsi="Calibri"/>
          <w:b/>
          <w:color w:val="595959" w:themeColor="text1" w:themeTint="A6"/>
        </w:rPr>
      </w:pPr>
      <w:r w:rsidRPr="004F4EE7">
        <w:rPr>
          <w:rFonts w:ascii="Calibri" w:hAnsi="Calibri"/>
          <w:b/>
          <w:color w:val="595959" w:themeColor="text1" w:themeTint="A6"/>
        </w:rPr>
        <w:t>Allerdale</w:t>
      </w:r>
    </w:p>
    <w:p w:rsidR="003129D6" w:rsidRPr="004F4EE7" w:rsidRDefault="003129D6" w:rsidP="00F61707">
      <w:pPr>
        <w:pStyle w:val="ListParagraph"/>
        <w:numPr>
          <w:ilvl w:val="0"/>
          <w:numId w:val="26"/>
        </w:numPr>
        <w:rPr>
          <w:rFonts w:ascii="Calibri" w:hAnsi="Calibri"/>
          <w:color w:val="595959" w:themeColor="text1" w:themeTint="A6"/>
        </w:rPr>
      </w:pPr>
      <w:r w:rsidRPr="004F4EE7">
        <w:rPr>
          <w:rFonts w:ascii="Calibri" w:hAnsi="Calibri"/>
          <w:color w:val="595959" w:themeColor="text1" w:themeTint="A6"/>
        </w:rPr>
        <w:t>Aspatria Ward</w:t>
      </w:r>
    </w:p>
    <w:p w:rsidR="003129D6" w:rsidRPr="004F4EE7" w:rsidRDefault="003129D6" w:rsidP="00F61707">
      <w:pPr>
        <w:pStyle w:val="ListParagraph"/>
        <w:numPr>
          <w:ilvl w:val="0"/>
          <w:numId w:val="26"/>
        </w:numPr>
        <w:rPr>
          <w:rFonts w:ascii="Calibri" w:hAnsi="Calibri"/>
          <w:color w:val="595959" w:themeColor="text1" w:themeTint="A6"/>
        </w:rPr>
      </w:pPr>
      <w:r w:rsidRPr="004F4EE7">
        <w:rPr>
          <w:rFonts w:ascii="Calibri" w:hAnsi="Calibri"/>
          <w:color w:val="595959" w:themeColor="text1" w:themeTint="A6"/>
        </w:rPr>
        <w:t>Broughton St. Bridget's Ward</w:t>
      </w:r>
    </w:p>
    <w:p w:rsidR="003129D6" w:rsidRPr="004F4EE7" w:rsidRDefault="003129D6" w:rsidP="00F61707">
      <w:pPr>
        <w:pStyle w:val="ListParagraph"/>
        <w:numPr>
          <w:ilvl w:val="0"/>
          <w:numId w:val="26"/>
        </w:numPr>
        <w:rPr>
          <w:rFonts w:ascii="Calibri" w:hAnsi="Calibri"/>
          <w:color w:val="595959" w:themeColor="text1" w:themeTint="A6"/>
        </w:rPr>
      </w:pPr>
      <w:r w:rsidRPr="004F4EE7">
        <w:rPr>
          <w:rFonts w:ascii="Calibri" w:hAnsi="Calibri"/>
          <w:color w:val="595959" w:themeColor="text1" w:themeTint="A6"/>
        </w:rPr>
        <w:t>Ellen Ward</w:t>
      </w:r>
    </w:p>
    <w:p w:rsidR="003129D6" w:rsidRPr="004F4EE7" w:rsidRDefault="003129D6" w:rsidP="00F61707">
      <w:pPr>
        <w:pStyle w:val="ListParagraph"/>
        <w:numPr>
          <w:ilvl w:val="0"/>
          <w:numId w:val="26"/>
        </w:numPr>
        <w:rPr>
          <w:rFonts w:ascii="Calibri" w:hAnsi="Calibri"/>
          <w:color w:val="595959" w:themeColor="text1" w:themeTint="A6"/>
        </w:rPr>
      </w:pPr>
      <w:r w:rsidRPr="004F4EE7">
        <w:rPr>
          <w:rFonts w:ascii="Calibri" w:hAnsi="Calibri"/>
          <w:color w:val="595959" w:themeColor="text1" w:themeTint="A6"/>
        </w:rPr>
        <w:t>Ellenborough Ward</w:t>
      </w:r>
    </w:p>
    <w:p w:rsidR="003129D6" w:rsidRPr="004F4EE7" w:rsidRDefault="003129D6" w:rsidP="00F61707">
      <w:pPr>
        <w:pStyle w:val="ListParagraph"/>
        <w:numPr>
          <w:ilvl w:val="0"/>
          <w:numId w:val="26"/>
        </w:numPr>
        <w:rPr>
          <w:rFonts w:ascii="Calibri" w:hAnsi="Calibri"/>
          <w:color w:val="595959" w:themeColor="text1" w:themeTint="A6"/>
        </w:rPr>
      </w:pPr>
      <w:r w:rsidRPr="004F4EE7">
        <w:rPr>
          <w:rFonts w:ascii="Calibri" w:hAnsi="Calibri"/>
          <w:color w:val="595959" w:themeColor="text1" w:themeTint="A6"/>
        </w:rPr>
        <w:t>Ewanrigg Ward</w:t>
      </w:r>
    </w:p>
    <w:p w:rsidR="003129D6" w:rsidRPr="004F4EE7" w:rsidRDefault="003129D6" w:rsidP="00F61707">
      <w:pPr>
        <w:pStyle w:val="ListParagraph"/>
        <w:numPr>
          <w:ilvl w:val="0"/>
          <w:numId w:val="26"/>
        </w:numPr>
        <w:rPr>
          <w:rFonts w:ascii="Calibri" w:hAnsi="Calibri"/>
          <w:color w:val="595959" w:themeColor="text1" w:themeTint="A6"/>
        </w:rPr>
      </w:pPr>
      <w:r w:rsidRPr="004F4EE7">
        <w:rPr>
          <w:rFonts w:ascii="Calibri" w:hAnsi="Calibri"/>
          <w:color w:val="595959" w:themeColor="text1" w:themeTint="A6"/>
        </w:rPr>
        <w:t>Flimby Ward</w:t>
      </w:r>
    </w:p>
    <w:p w:rsidR="003129D6" w:rsidRPr="004F4EE7" w:rsidRDefault="003129D6" w:rsidP="00F61707">
      <w:pPr>
        <w:pStyle w:val="ListParagraph"/>
        <w:numPr>
          <w:ilvl w:val="0"/>
          <w:numId w:val="26"/>
        </w:numPr>
        <w:rPr>
          <w:rFonts w:ascii="Calibri" w:hAnsi="Calibri"/>
          <w:color w:val="595959" w:themeColor="text1" w:themeTint="A6"/>
        </w:rPr>
      </w:pPr>
      <w:r w:rsidRPr="004F4EE7">
        <w:rPr>
          <w:rFonts w:ascii="Calibri" w:hAnsi="Calibri"/>
          <w:color w:val="595959" w:themeColor="text1" w:themeTint="A6"/>
        </w:rPr>
        <w:t>Harrington Ward</w:t>
      </w:r>
    </w:p>
    <w:p w:rsidR="003129D6" w:rsidRPr="004F4EE7" w:rsidRDefault="003129D6" w:rsidP="00F61707">
      <w:pPr>
        <w:pStyle w:val="ListParagraph"/>
        <w:numPr>
          <w:ilvl w:val="0"/>
          <w:numId w:val="26"/>
        </w:numPr>
        <w:rPr>
          <w:rFonts w:ascii="Calibri" w:hAnsi="Calibri"/>
          <w:color w:val="595959" w:themeColor="text1" w:themeTint="A6"/>
        </w:rPr>
      </w:pPr>
      <w:r w:rsidRPr="004F4EE7">
        <w:rPr>
          <w:rFonts w:ascii="Calibri" w:hAnsi="Calibri"/>
          <w:color w:val="595959" w:themeColor="text1" w:themeTint="A6"/>
        </w:rPr>
        <w:t>Holme Ward</w:t>
      </w:r>
    </w:p>
    <w:p w:rsidR="003129D6" w:rsidRPr="004F4EE7" w:rsidRDefault="003129D6" w:rsidP="00F61707">
      <w:pPr>
        <w:pStyle w:val="ListParagraph"/>
        <w:numPr>
          <w:ilvl w:val="0"/>
          <w:numId w:val="26"/>
        </w:numPr>
        <w:rPr>
          <w:rFonts w:ascii="Calibri" w:hAnsi="Calibri"/>
          <w:color w:val="595959" w:themeColor="text1" w:themeTint="A6"/>
        </w:rPr>
      </w:pPr>
      <w:r w:rsidRPr="004F4EE7">
        <w:rPr>
          <w:rFonts w:ascii="Calibri" w:hAnsi="Calibri"/>
          <w:color w:val="595959" w:themeColor="text1" w:themeTint="A6"/>
        </w:rPr>
        <w:t>Marsh Ward</w:t>
      </w:r>
    </w:p>
    <w:p w:rsidR="003129D6" w:rsidRPr="004F4EE7" w:rsidRDefault="003129D6" w:rsidP="00F61707">
      <w:pPr>
        <w:pStyle w:val="ListParagraph"/>
        <w:numPr>
          <w:ilvl w:val="0"/>
          <w:numId w:val="26"/>
        </w:numPr>
        <w:rPr>
          <w:rFonts w:ascii="Calibri" w:hAnsi="Calibri"/>
          <w:color w:val="595959" w:themeColor="text1" w:themeTint="A6"/>
        </w:rPr>
      </w:pPr>
      <w:r w:rsidRPr="004F4EE7">
        <w:rPr>
          <w:rFonts w:ascii="Calibri" w:hAnsi="Calibri"/>
          <w:color w:val="595959" w:themeColor="text1" w:themeTint="A6"/>
        </w:rPr>
        <w:t>Moorclose Ward</w:t>
      </w:r>
    </w:p>
    <w:p w:rsidR="003129D6" w:rsidRPr="004F4EE7" w:rsidRDefault="003129D6" w:rsidP="00F61707">
      <w:pPr>
        <w:pStyle w:val="ListParagraph"/>
        <w:numPr>
          <w:ilvl w:val="0"/>
          <w:numId w:val="26"/>
        </w:numPr>
        <w:rPr>
          <w:rFonts w:ascii="Calibri" w:hAnsi="Calibri"/>
          <w:color w:val="595959" w:themeColor="text1" w:themeTint="A6"/>
        </w:rPr>
      </w:pPr>
      <w:r w:rsidRPr="004F4EE7">
        <w:rPr>
          <w:rFonts w:ascii="Calibri" w:hAnsi="Calibri"/>
          <w:color w:val="595959" w:themeColor="text1" w:themeTint="A6"/>
        </w:rPr>
        <w:t>Moss Bay Ward</w:t>
      </w:r>
    </w:p>
    <w:p w:rsidR="003129D6" w:rsidRPr="004F4EE7" w:rsidRDefault="003129D6" w:rsidP="00F61707">
      <w:pPr>
        <w:pStyle w:val="ListParagraph"/>
        <w:numPr>
          <w:ilvl w:val="0"/>
          <w:numId w:val="26"/>
        </w:numPr>
        <w:rPr>
          <w:rFonts w:ascii="Calibri" w:hAnsi="Calibri"/>
          <w:color w:val="595959" w:themeColor="text1" w:themeTint="A6"/>
        </w:rPr>
      </w:pPr>
      <w:r w:rsidRPr="004F4EE7">
        <w:rPr>
          <w:rFonts w:ascii="Calibri" w:hAnsi="Calibri"/>
          <w:color w:val="595959" w:themeColor="text1" w:themeTint="A6"/>
        </w:rPr>
        <w:t>Netherhall Ward</w:t>
      </w:r>
    </w:p>
    <w:p w:rsidR="003129D6" w:rsidRPr="004F4EE7" w:rsidRDefault="003129D6" w:rsidP="00F61707">
      <w:pPr>
        <w:pStyle w:val="ListParagraph"/>
        <w:numPr>
          <w:ilvl w:val="0"/>
          <w:numId w:val="26"/>
        </w:numPr>
        <w:rPr>
          <w:rFonts w:ascii="Calibri" w:hAnsi="Calibri"/>
          <w:color w:val="595959" w:themeColor="text1" w:themeTint="A6"/>
        </w:rPr>
      </w:pPr>
      <w:r w:rsidRPr="004F4EE7">
        <w:rPr>
          <w:rFonts w:ascii="Calibri" w:hAnsi="Calibri"/>
          <w:color w:val="595959" w:themeColor="text1" w:themeTint="A6"/>
        </w:rPr>
        <w:t>St. John's Ward</w:t>
      </w:r>
    </w:p>
    <w:p w:rsidR="003129D6" w:rsidRPr="004F4EE7" w:rsidRDefault="003129D6" w:rsidP="00F61707">
      <w:pPr>
        <w:pStyle w:val="ListParagraph"/>
        <w:numPr>
          <w:ilvl w:val="0"/>
          <w:numId w:val="26"/>
        </w:numPr>
        <w:rPr>
          <w:rFonts w:ascii="Calibri" w:hAnsi="Calibri"/>
          <w:color w:val="595959" w:themeColor="text1" w:themeTint="A6"/>
        </w:rPr>
      </w:pPr>
      <w:r w:rsidRPr="004F4EE7">
        <w:rPr>
          <w:rFonts w:ascii="Calibri" w:hAnsi="Calibri"/>
          <w:color w:val="595959" w:themeColor="text1" w:themeTint="A6"/>
        </w:rPr>
        <w:t>St. Michael's Ward</w:t>
      </w:r>
    </w:p>
    <w:p w:rsidR="003129D6" w:rsidRPr="004F4EE7" w:rsidRDefault="003129D6" w:rsidP="00F61707">
      <w:pPr>
        <w:pStyle w:val="ListParagraph"/>
        <w:numPr>
          <w:ilvl w:val="0"/>
          <w:numId w:val="26"/>
        </w:numPr>
        <w:rPr>
          <w:rFonts w:ascii="Calibri" w:hAnsi="Calibri"/>
          <w:color w:val="595959" w:themeColor="text1" w:themeTint="A6"/>
        </w:rPr>
      </w:pPr>
      <w:r w:rsidRPr="004F4EE7">
        <w:rPr>
          <w:rFonts w:ascii="Calibri" w:hAnsi="Calibri"/>
          <w:color w:val="595959" w:themeColor="text1" w:themeTint="A6"/>
        </w:rPr>
        <w:t>Seaton Ward</w:t>
      </w:r>
    </w:p>
    <w:p w:rsidR="003129D6" w:rsidRPr="004F4EE7" w:rsidRDefault="003129D6" w:rsidP="00F61707">
      <w:pPr>
        <w:pStyle w:val="ListParagraph"/>
        <w:numPr>
          <w:ilvl w:val="0"/>
          <w:numId w:val="26"/>
        </w:numPr>
        <w:rPr>
          <w:rFonts w:ascii="Calibri" w:hAnsi="Calibri"/>
          <w:color w:val="595959" w:themeColor="text1" w:themeTint="A6"/>
        </w:rPr>
      </w:pPr>
      <w:r w:rsidRPr="004F4EE7">
        <w:rPr>
          <w:rFonts w:ascii="Calibri" w:hAnsi="Calibri"/>
          <w:color w:val="595959" w:themeColor="text1" w:themeTint="A6"/>
        </w:rPr>
        <w:t>Silloth Ward</w:t>
      </w:r>
    </w:p>
    <w:p w:rsidR="003129D6" w:rsidRPr="004F4EE7" w:rsidRDefault="003129D6" w:rsidP="00F61707">
      <w:pPr>
        <w:pStyle w:val="ListParagraph"/>
        <w:numPr>
          <w:ilvl w:val="0"/>
          <w:numId w:val="26"/>
        </w:numPr>
        <w:rPr>
          <w:rFonts w:ascii="Calibri" w:hAnsi="Calibri"/>
          <w:color w:val="595959" w:themeColor="text1" w:themeTint="A6"/>
        </w:rPr>
      </w:pPr>
      <w:r w:rsidRPr="004F4EE7">
        <w:rPr>
          <w:rFonts w:ascii="Calibri" w:hAnsi="Calibri"/>
          <w:color w:val="595959" w:themeColor="text1" w:themeTint="A6"/>
        </w:rPr>
        <w:t>Solway Ward</w:t>
      </w:r>
    </w:p>
    <w:p w:rsidR="003129D6" w:rsidRPr="004F4EE7" w:rsidRDefault="003129D6" w:rsidP="00F61707">
      <w:pPr>
        <w:pStyle w:val="ListParagraph"/>
        <w:numPr>
          <w:ilvl w:val="0"/>
          <w:numId w:val="26"/>
        </w:numPr>
        <w:rPr>
          <w:rFonts w:ascii="Calibri" w:hAnsi="Calibri"/>
          <w:color w:val="595959" w:themeColor="text1" w:themeTint="A6"/>
        </w:rPr>
      </w:pPr>
      <w:r w:rsidRPr="004F4EE7">
        <w:rPr>
          <w:rFonts w:ascii="Calibri" w:hAnsi="Calibri"/>
          <w:color w:val="595959" w:themeColor="text1" w:themeTint="A6"/>
        </w:rPr>
        <w:t>Wampool Ward</w:t>
      </w:r>
    </w:p>
    <w:p w:rsidR="003129D6" w:rsidRPr="004F4EE7" w:rsidRDefault="003129D6" w:rsidP="00F61707">
      <w:pPr>
        <w:pStyle w:val="ListParagraph"/>
        <w:numPr>
          <w:ilvl w:val="0"/>
          <w:numId w:val="26"/>
        </w:numPr>
        <w:rPr>
          <w:rFonts w:ascii="Calibri" w:hAnsi="Calibri"/>
          <w:color w:val="595959" w:themeColor="text1" w:themeTint="A6"/>
        </w:rPr>
      </w:pPr>
      <w:r w:rsidRPr="004F4EE7">
        <w:rPr>
          <w:rFonts w:ascii="Calibri" w:hAnsi="Calibri"/>
          <w:color w:val="595959" w:themeColor="text1" w:themeTint="A6"/>
        </w:rPr>
        <w:t>Waver Ward</w:t>
      </w:r>
    </w:p>
    <w:p w:rsidR="003129D6" w:rsidRPr="004F4EE7" w:rsidRDefault="003129D6" w:rsidP="00F61707">
      <w:pPr>
        <w:pStyle w:val="ListParagraph"/>
        <w:numPr>
          <w:ilvl w:val="0"/>
          <w:numId w:val="26"/>
        </w:numPr>
        <w:rPr>
          <w:rFonts w:ascii="Calibri" w:hAnsi="Calibri"/>
          <w:color w:val="595959" w:themeColor="text1" w:themeTint="A6"/>
        </w:rPr>
      </w:pPr>
      <w:r w:rsidRPr="004F4EE7">
        <w:rPr>
          <w:rFonts w:ascii="Calibri" w:hAnsi="Calibri"/>
          <w:color w:val="595959" w:themeColor="text1" w:themeTint="A6"/>
        </w:rPr>
        <w:t>Wigton Ward</w:t>
      </w:r>
    </w:p>
    <w:p w:rsidR="002836E4" w:rsidRPr="004F4EE7" w:rsidRDefault="003129D6" w:rsidP="003129D6">
      <w:pPr>
        <w:rPr>
          <w:rFonts w:ascii="Calibri" w:hAnsi="Calibri"/>
          <w:b/>
          <w:color w:val="595959" w:themeColor="text1" w:themeTint="A6"/>
        </w:rPr>
      </w:pPr>
      <w:r w:rsidRPr="004F4EE7">
        <w:rPr>
          <w:rFonts w:ascii="Calibri" w:hAnsi="Calibri"/>
          <w:b/>
          <w:color w:val="595959" w:themeColor="text1" w:themeTint="A6"/>
        </w:rPr>
        <w:t>Barrow-in-Furness</w:t>
      </w:r>
    </w:p>
    <w:p w:rsidR="003129D6" w:rsidRPr="004F4EE7" w:rsidRDefault="003129D6" w:rsidP="00F61707">
      <w:pPr>
        <w:pStyle w:val="ListParagraph"/>
        <w:numPr>
          <w:ilvl w:val="0"/>
          <w:numId w:val="27"/>
        </w:numPr>
        <w:rPr>
          <w:rFonts w:ascii="Calibri" w:hAnsi="Calibri"/>
          <w:color w:val="595959" w:themeColor="text1" w:themeTint="A6"/>
        </w:rPr>
      </w:pPr>
      <w:r w:rsidRPr="004F4EE7">
        <w:rPr>
          <w:rFonts w:ascii="Calibri" w:hAnsi="Calibri"/>
          <w:color w:val="595959" w:themeColor="text1" w:themeTint="A6"/>
        </w:rPr>
        <w:t>Barrow Island Ward</w:t>
      </w:r>
    </w:p>
    <w:p w:rsidR="003129D6" w:rsidRPr="004F4EE7" w:rsidRDefault="003129D6" w:rsidP="00F61707">
      <w:pPr>
        <w:pStyle w:val="ListParagraph"/>
        <w:numPr>
          <w:ilvl w:val="0"/>
          <w:numId w:val="27"/>
        </w:numPr>
        <w:rPr>
          <w:rFonts w:ascii="Calibri" w:hAnsi="Calibri"/>
          <w:color w:val="595959" w:themeColor="text1" w:themeTint="A6"/>
        </w:rPr>
      </w:pPr>
      <w:r w:rsidRPr="004F4EE7">
        <w:rPr>
          <w:rFonts w:ascii="Calibri" w:hAnsi="Calibri"/>
          <w:color w:val="595959" w:themeColor="text1" w:themeTint="A6"/>
        </w:rPr>
        <w:t>Central Ward</w:t>
      </w:r>
    </w:p>
    <w:p w:rsidR="003129D6" w:rsidRPr="004F4EE7" w:rsidRDefault="003129D6" w:rsidP="00F61707">
      <w:pPr>
        <w:pStyle w:val="ListParagraph"/>
        <w:numPr>
          <w:ilvl w:val="0"/>
          <w:numId w:val="27"/>
        </w:numPr>
        <w:rPr>
          <w:rFonts w:ascii="Calibri" w:hAnsi="Calibri"/>
          <w:color w:val="595959" w:themeColor="text1" w:themeTint="A6"/>
        </w:rPr>
      </w:pPr>
      <w:r w:rsidRPr="004F4EE7">
        <w:rPr>
          <w:rFonts w:ascii="Calibri" w:hAnsi="Calibri"/>
          <w:color w:val="595959" w:themeColor="text1" w:themeTint="A6"/>
        </w:rPr>
        <w:t>Dalton North Ward</w:t>
      </w:r>
    </w:p>
    <w:p w:rsidR="003129D6" w:rsidRPr="004F4EE7" w:rsidRDefault="003129D6" w:rsidP="00F61707">
      <w:pPr>
        <w:pStyle w:val="ListParagraph"/>
        <w:numPr>
          <w:ilvl w:val="0"/>
          <w:numId w:val="27"/>
        </w:numPr>
        <w:rPr>
          <w:rFonts w:ascii="Calibri" w:hAnsi="Calibri"/>
          <w:color w:val="595959" w:themeColor="text1" w:themeTint="A6"/>
        </w:rPr>
      </w:pPr>
      <w:r w:rsidRPr="004F4EE7">
        <w:rPr>
          <w:rFonts w:ascii="Calibri" w:hAnsi="Calibri"/>
          <w:color w:val="595959" w:themeColor="text1" w:themeTint="A6"/>
        </w:rPr>
        <w:t>Dalton South Ward</w:t>
      </w:r>
    </w:p>
    <w:p w:rsidR="003129D6" w:rsidRPr="004F4EE7" w:rsidRDefault="003129D6" w:rsidP="00F61707">
      <w:pPr>
        <w:pStyle w:val="ListParagraph"/>
        <w:numPr>
          <w:ilvl w:val="0"/>
          <w:numId w:val="27"/>
        </w:numPr>
        <w:rPr>
          <w:rFonts w:ascii="Calibri" w:hAnsi="Calibri"/>
          <w:color w:val="595959" w:themeColor="text1" w:themeTint="A6"/>
        </w:rPr>
      </w:pPr>
      <w:r w:rsidRPr="004F4EE7">
        <w:rPr>
          <w:rFonts w:ascii="Calibri" w:hAnsi="Calibri"/>
          <w:color w:val="595959" w:themeColor="text1" w:themeTint="A6"/>
        </w:rPr>
        <w:t>Hawcoat Ward</w:t>
      </w:r>
    </w:p>
    <w:p w:rsidR="003129D6" w:rsidRPr="004F4EE7" w:rsidRDefault="003129D6" w:rsidP="00F61707">
      <w:pPr>
        <w:pStyle w:val="ListParagraph"/>
        <w:numPr>
          <w:ilvl w:val="0"/>
          <w:numId w:val="27"/>
        </w:numPr>
        <w:rPr>
          <w:rFonts w:ascii="Calibri" w:hAnsi="Calibri"/>
          <w:color w:val="595959" w:themeColor="text1" w:themeTint="A6"/>
        </w:rPr>
      </w:pPr>
      <w:r w:rsidRPr="004F4EE7">
        <w:rPr>
          <w:rFonts w:ascii="Calibri" w:hAnsi="Calibri"/>
          <w:color w:val="595959" w:themeColor="text1" w:themeTint="A6"/>
        </w:rPr>
        <w:t>Hindpool Ward</w:t>
      </w:r>
    </w:p>
    <w:p w:rsidR="003129D6" w:rsidRPr="004F4EE7" w:rsidRDefault="003129D6" w:rsidP="00F61707">
      <w:pPr>
        <w:pStyle w:val="ListParagraph"/>
        <w:numPr>
          <w:ilvl w:val="0"/>
          <w:numId w:val="27"/>
        </w:numPr>
        <w:rPr>
          <w:rFonts w:ascii="Calibri" w:hAnsi="Calibri"/>
          <w:color w:val="595959" w:themeColor="text1" w:themeTint="A6"/>
        </w:rPr>
      </w:pPr>
      <w:r w:rsidRPr="004F4EE7">
        <w:rPr>
          <w:rFonts w:ascii="Calibri" w:hAnsi="Calibri"/>
          <w:color w:val="595959" w:themeColor="text1" w:themeTint="A6"/>
        </w:rPr>
        <w:t>Newbarns Ward</w:t>
      </w:r>
    </w:p>
    <w:p w:rsidR="003129D6" w:rsidRPr="004F4EE7" w:rsidRDefault="003129D6" w:rsidP="00F61707">
      <w:pPr>
        <w:pStyle w:val="ListParagraph"/>
        <w:numPr>
          <w:ilvl w:val="0"/>
          <w:numId w:val="27"/>
        </w:numPr>
        <w:rPr>
          <w:rFonts w:ascii="Calibri" w:hAnsi="Calibri"/>
          <w:color w:val="595959" w:themeColor="text1" w:themeTint="A6"/>
        </w:rPr>
      </w:pPr>
      <w:r w:rsidRPr="004F4EE7">
        <w:rPr>
          <w:rFonts w:ascii="Calibri" w:hAnsi="Calibri"/>
          <w:color w:val="595959" w:themeColor="text1" w:themeTint="A6"/>
        </w:rPr>
        <w:t>Ormsgill Ward</w:t>
      </w:r>
    </w:p>
    <w:p w:rsidR="003129D6" w:rsidRPr="004F4EE7" w:rsidRDefault="003129D6" w:rsidP="00F61707">
      <w:pPr>
        <w:pStyle w:val="ListParagraph"/>
        <w:numPr>
          <w:ilvl w:val="0"/>
          <w:numId w:val="27"/>
        </w:numPr>
        <w:rPr>
          <w:rFonts w:ascii="Calibri" w:hAnsi="Calibri"/>
          <w:color w:val="595959" w:themeColor="text1" w:themeTint="A6"/>
        </w:rPr>
      </w:pPr>
      <w:r w:rsidRPr="004F4EE7">
        <w:rPr>
          <w:rFonts w:ascii="Calibri" w:hAnsi="Calibri"/>
          <w:color w:val="595959" w:themeColor="text1" w:themeTint="A6"/>
        </w:rPr>
        <w:t>Parkside Ward</w:t>
      </w:r>
    </w:p>
    <w:p w:rsidR="003129D6" w:rsidRPr="004F4EE7" w:rsidRDefault="003129D6" w:rsidP="00F61707">
      <w:pPr>
        <w:pStyle w:val="ListParagraph"/>
        <w:numPr>
          <w:ilvl w:val="0"/>
          <w:numId w:val="27"/>
        </w:numPr>
        <w:rPr>
          <w:rFonts w:ascii="Calibri" w:hAnsi="Calibri"/>
          <w:color w:val="595959" w:themeColor="text1" w:themeTint="A6"/>
        </w:rPr>
      </w:pPr>
      <w:r w:rsidRPr="004F4EE7">
        <w:rPr>
          <w:rFonts w:ascii="Calibri" w:hAnsi="Calibri"/>
          <w:color w:val="595959" w:themeColor="text1" w:themeTint="A6"/>
        </w:rPr>
        <w:t>Risedale Ward</w:t>
      </w:r>
    </w:p>
    <w:p w:rsidR="003129D6" w:rsidRPr="004F4EE7" w:rsidRDefault="003129D6" w:rsidP="00F61707">
      <w:pPr>
        <w:pStyle w:val="ListParagraph"/>
        <w:numPr>
          <w:ilvl w:val="0"/>
          <w:numId w:val="27"/>
        </w:numPr>
        <w:rPr>
          <w:rFonts w:ascii="Calibri" w:hAnsi="Calibri"/>
          <w:color w:val="595959" w:themeColor="text1" w:themeTint="A6"/>
        </w:rPr>
      </w:pPr>
      <w:r w:rsidRPr="004F4EE7">
        <w:rPr>
          <w:rFonts w:ascii="Calibri" w:hAnsi="Calibri"/>
          <w:color w:val="595959" w:themeColor="text1" w:themeTint="A6"/>
        </w:rPr>
        <w:t>Roosecote Ward</w:t>
      </w:r>
    </w:p>
    <w:p w:rsidR="003129D6" w:rsidRPr="004F4EE7" w:rsidRDefault="003129D6" w:rsidP="00F61707">
      <w:pPr>
        <w:pStyle w:val="ListParagraph"/>
        <w:numPr>
          <w:ilvl w:val="0"/>
          <w:numId w:val="27"/>
        </w:numPr>
        <w:rPr>
          <w:rFonts w:ascii="Calibri" w:hAnsi="Calibri"/>
          <w:b/>
          <w:color w:val="595959" w:themeColor="text1" w:themeTint="A6"/>
        </w:rPr>
      </w:pPr>
      <w:r w:rsidRPr="004F4EE7">
        <w:rPr>
          <w:rFonts w:ascii="Calibri" w:hAnsi="Calibri"/>
          <w:color w:val="595959" w:themeColor="text1" w:themeTint="A6"/>
        </w:rPr>
        <w:t>Walney North Ward</w:t>
      </w:r>
    </w:p>
    <w:p w:rsidR="003129D6" w:rsidRPr="004F4EE7" w:rsidRDefault="003129D6" w:rsidP="003129D6">
      <w:pPr>
        <w:pStyle w:val="ListParagraph"/>
        <w:rPr>
          <w:rFonts w:ascii="Calibri" w:hAnsi="Calibri"/>
          <w:b/>
          <w:color w:val="595959" w:themeColor="text1" w:themeTint="A6"/>
        </w:rPr>
      </w:pPr>
    </w:p>
    <w:p w:rsidR="002836E4" w:rsidRPr="004F4EE7" w:rsidRDefault="003129D6" w:rsidP="003129D6">
      <w:pPr>
        <w:rPr>
          <w:rFonts w:ascii="Calibri" w:hAnsi="Calibri"/>
          <w:b/>
          <w:color w:val="595959" w:themeColor="text1" w:themeTint="A6"/>
        </w:rPr>
      </w:pPr>
      <w:r w:rsidRPr="004F4EE7">
        <w:rPr>
          <w:rFonts w:ascii="Calibri" w:hAnsi="Calibri"/>
          <w:b/>
          <w:color w:val="595959" w:themeColor="text1" w:themeTint="A6"/>
        </w:rPr>
        <w:t>Carlisle</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Belah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Burgh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Castle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Denton Holme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lastRenderedPageBreak/>
        <w:t>Longtown &amp; Rockcliffe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Stanwix Rural Ward</w:t>
      </w:r>
    </w:p>
    <w:p w:rsidR="002836E4" w:rsidRPr="004F4EE7" w:rsidRDefault="003129D6" w:rsidP="002836E4">
      <w:pPr>
        <w:rPr>
          <w:rFonts w:ascii="Calibri" w:hAnsi="Calibri"/>
          <w:b/>
          <w:color w:val="595959" w:themeColor="text1" w:themeTint="A6"/>
        </w:rPr>
      </w:pPr>
      <w:r w:rsidRPr="004F4EE7">
        <w:rPr>
          <w:rFonts w:ascii="Calibri" w:hAnsi="Calibri"/>
          <w:b/>
          <w:color w:val="595959" w:themeColor="text1" w:themeTint="A6"/>
        </w:rPr>
        <w:t>Copeland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Arlecdon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Beckermet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Bootle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Bransty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Cleator Moor North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Cleator Moor South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Distington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Egremont North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Egremont South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Frizington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Gosforth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Harbour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Haverigg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Hensingham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Hillcrest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Holborn Hill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Kells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Millom Without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Mirehouse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Moresby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Newtown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St. Bees Ward</w:t>
      </w:r>
    </w:p>
    <w:p w:rsidR="003129D6"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Sandwith Ward</w:t>
      </w:r>
    </w:p>
    <w:p w:rsidR="00151913" w:rsidRPr="004F4EE7" w:rsidRDefault="003129D6"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Seascale Ward</w:t>
      </w:r>
    </w:p>
    <w:p w:rsidR="002836E4" w:rsidRPr="004F4EE7" w:rsidRDefault="003129D6" w:rsidP="002836E4">
      <w:pPr>
        <w:rPr>
          <w:rFonts w:ascii="Calibri" w:hAnsi="Calibri"/>
          <w:b/>
          <w:color w:val="595959" w:themeColor="text1" w:themeTint="A6"/>
        </w:rPr>
      </w:pPr>
      <w:r w:rsidRPr="004F4EE7">
        <w:rPr>
          <w:rFonts w:ascii="Calibri" w:hAnsi="Calibri"/>
          <w:b/>
          <w:color w:val="595959" w:themeColor="text1" w:themeTint="A6"/>
        </w:rPr>
        <w:t>Eden</w:t>
      </w:r>
    </w:p>
    <w:p w:rsidR="003129D6" w:rsidRPr="004F4EE7" w:rsidRDefault="003129D6" w:rsidP="002836E4">
      <w:pPr>
        <w:rPr>
          <w:rFonts w:ascii="Calibri" w:hAnsi="Calibri"/>
          <w:color w:val="595959" w:themeColor="text1" w:themeTint="A6"/>
        </w:rPr>
      </w:pPr>
      <w:r w:rsidRPr="004F4EE7">
        <w:rPr>
          <w:rFonts w:ascii="Calibri" w:hAnsi="Calibri"/>
          <w:color w:val="595959" w:themeColor="text1" w:themeTint="A6"/>
        </w:rPr>
        <w:t>None</w:t>
      </w:r>
    </w:p>
    <w:p w:rsidR="002836E4" w:rsidRPr="004F4EE7" w:rsidRDefault="00013962" w:rsidP="00E021C5">
      <w:pPr>
        <w:rPr>
          <w:rFonts w:ascii="Calibri" w:hAnsi="Calibri"/>
          <w:b/>
          <w:color w:val="595959" w:themeColor="text1" w:themeTint="A6"/>
        </w:rPr>
      </w:pPr>
      <w:r w:rsidRPr="004F4EE7">
        <w:rPr>
          <w:rFonts w:ascii="Calibri" w:hAnsi="Calibri"/>
          <w:b/>
          <w:color w:val="595959" w:themeColor="text1" w:themeTint="A6"/>
        </w:rPr>
        <w:t>South Lakeland</w:t>
      </w:r>
    </w:p>
    <w:p w:rsidR="00013962" w:rsidRPr="004F4EE7" w:rsidRDefault="00013962"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Low Furness Ward</w:t>
      </w:r>
    </w:p>
    <w:p w:rsidR="00013962" w:rsidRPr="004F4EE7" w:rsidRDefault="00013962"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Mid Furness Ward</w:t>
      </w:r>
    </w:p>
    <w:p w:rsidR="00013962" w:rsidRPr="004F4EE7" w:rsidRDefault="00013962"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Ulverston Central Ward</w:t>
      </w:r>
    </w:p>
    <w:p w:rsidR="00013962" w:rsidRPr="004F4EE7" w:rsidRDefault="00013962"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Ulverston East Ward</w:t>
      </w:r>
    </w:p>
    <w:p w:rsidR="00013962" w:rsidRPr="004F4EE7" w:rsidRDefault="00013962"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Ulverston North Ward</w:t>
      </w:r>
    </w:p>
    <w:p w:rsidR="00013962" w:rsidRPr="004F4EE7" w:rsidRDefault="00013962"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Ulverston South Ward</w:t>
      </w:r>
    </w:p>
    <w:p w:rsidR="00013962" w:rsidRPr="004F4EE7" w:rsidRDefault="00013962"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Ulverston Town Ward</w:t>
      </w:r>
    </w:p>
    <w:p w:rsidR="00151913" w:rsidRPr="004F4EE7" w:rsidRDefault="00013962" w:rsidP="00F61707">
      <w:pPr>
        <w:pStyle w:val="ListParagraph"/>
        <w:numPr>
          <w:ilvl w:val="0"/>
          <w:numId w:val="21"/>
        </w:numPr>
        <w:rPr>
          <w:rFonts w:ascii="Calibri" w:hAnsi="Calibri"/>
          <w:color w:val="595959" w:themeColor="text1" w:themeTint="A6"/>
        </w:rPr>
      </w:pPr>
      <w:r w:rsidRPr="004F4EE7">
        <w:rPr>
          <w:rFonts w:ascii="Calibri" w:hAnsi="Calibri"/>
          <w:color w:val="595959" w:themeColor="text1" w:themeTint="A6"/>
        </w:rPr>
        <w:t>Ulverston West Ward</w:t>
      </w:r>
    </w:p>
    <w:p w:rsidR="00710C1E" w:rsidRPr="004F4EE7" w:rsidRDefault="00710C1E" w:rsidP="00710C1E">
      <w:pPr>
        <w:rPr>
          <w:rFonts w:ascii="Calibri" w:hAnsi="Calibri"/>
          <w:b/>
          <w:color w:val="595959" w:themeColor="text1" w:themeTint="A6"/>
        </w:rPr>
        <w:sectPr w:rsidR="00710C1E" w:rsidRPr="004F4EE7" w:rsidSect="00081966">
          <w:pgSz w:w="11906" w:h="16838" w:code="9"/>
          <w:pgMar w:top="1701" w:right="1134" w:bottom="1134" w:left="1134" w:header="709" w:footer="113" w:gutter="0"/>
          <w:cols w:space="708"/>
          <w:docGrid w:linePitch="360"/>
        </w:sectPr>
      </w:pPr>
    </w:p>
    <w:p w:rsidR="0019400B" w:rsidRPr="004F4EE7" w:rsidRDefault="0019400B" w:rsidP="00854ED5">
      <w:pPr>
        <w:pStyle w:val="Heading1"/>
        <w:rPr>
          <w:rFonts w:ascii="Calibri" w:hAnsi="Calibri"/>
        </w:rPr>
      </w:pPr>
      <w:bookmarkStart w:id="91" w:name="_Toc349308524"/>
      <w:r w:rsidRPr="004F4EE7">
        <w:rPr>
          <w:rFonts w:ascii="Calibri" w:hAnsi="Calibri"/>
        </w:rPr>
        <w:lastRenderedPageBreak/>
        <w:t>ANNEX D</w:t>
      </w:r>
      <w:r w:rsidR="00522BCB" w:rsidRPr="004F4EE7">
        <w:rPr>
          <w:rFonts w:ascii="Calibri" w:hAnsi="Calibri"/>
        </w:rPr>
        <w:t>:</w:t>
      </w:r>
      <w:r w:rsidRPr="004F4EE7">
        <w:rPr>
          <w:rFonts w:ascii="Calibri" w:hAnsi="Calibri"/>
        </w:rPr>
        <w:t xml:space="preserve"> ELIGIBLE COSTS FOR R&amp;D PROJECTS</w:t>
      </w:r>
      <w:bookmarkEnd w:id="91"/>
    </w:p>
    <w:p w:rsidR="0019400B" w:rsidRPr="004F4EE7" w:rsidRDefault="0019400B" w:rsidP="0019400B">
      <w:pPr>
        <w:rPr>
          <w:rFonts w:ascii="Calibri" w:hAnsi="Calibri" w:cs="Arial"/>
          <w:b/>
          <w:color w:val="595959" w:themeColor="text1" w:themeTint="A6"/>
        </w:rPr>
      </w:pPr>
    </w:p>
    <w:p w:rsidR="0019400B" w:rsidRPr="004F4EE7" w:rsidRDefault="0019400B" w:rsidP="00B3076A">
      <w:pPr>
        <w:pStyle w:val="Heading4"/>
        <w:rPr>
          <w:rFonts w:ascii="Calibri" w:hAnsi="Calibri"/>
          <w:color w:val="595959" w:themeColor="text1" w:themeTint="A6"/>
        </w:rPr>
      </w:pPr>
      <w:r w:rsidRPr="004F4EE7">
        <w:rPr>
          <w:rFonts w:ascii="Calibri" w:hAnsi="Calibri"/>
          <w:color w:val="595959" w:themeColor="text1" w:themeTint="A6"/>
        </w:rPr>
        <w:t xml:space="preserve">Pay of Employees </w:t>
      </w:r>
    </w:p>
    <w:p w:rsidR="0019400B" w:rsidRPr="004F4EE7" w:rsidRDefault="0019400B" w:rsidP="0019400B">
      <w:pPr>
        <w:rPr>
          <w:rFonts w:ascii="Calibri" w:hAnsi="Calibri" w:cs="Arial"/>
          <w:color w:val="595959" w:themeColor="text1" w:themeTint="A6"/>
        </w:rPr>
      </w:pPr>
      <w:r w:rsidRPr="004F4EE7">
        <w:rPr>
          <w:rFonts w:ascii="Calibri" w:hAnsi="Calibri" w:cs="Arial"/>
          <w:color w:val="595959" w:themeColor="text1" w:themeTint="A6"/>
        </w:rPr>
        <w:t xml:space="preserve">Pay of employees must only include the pay of personnel employed directly by the company and directly engaged on the project.  First-line supervision is allowed, but not managers remote from the project unless the applicant can reliably calculate their contribution to the project.  National Insurance contributions and pension contributions are eligible for support but applicants should include them in the amount for overheads (see below).  Directors’ fees charged as consultants to their own companies are not eligible for grant support.  </w:t>
      </w:r>
    </w:p>
    <w:p w:rsidR="00A07029" w:rsidRPr="004F4EE7" w:rsidRDefault="0019400B" w:rsidP="00B3076A">
      <w:pPr>
        <w:pStyle w:val="Heading4"/>
        <w:rPr>
          <w:rFonts w:ascii="Calibri" w:hAnsi="Calibri"/>
          <w:color w:val="595959" w:themeColor="text1" w:themeTint="A6"/>
        </w:rPr>
      </w:pPr>
      <w:r w:rsidRPr="004F4EE7">
        <w:rPr>
          <w:rFonts w:ascii="Calibri" w:hAnsi="Calibri"/>
          <w:color w:val="595959" w:themeColor="text1" w:themeTint="A6"/>
        </w:rPr>
        <w:t>Limited Liability Companies</w:t>
      </w:r>
    </w:p>
    <w:p w:rsidR="0019400B" w:rsidRPr="004F4EE7" w:rsidRDefault="00A07029" w:rsidP="0019400B">
      <w:pPr>
        <w:rPr>
          <w:rFonts w:ascii="Calibri" w:hAnsi="Calibri" w:cs="Arial"/>
          <w:color w:val="595959" w:themeColor="text1" w:themeTint="A6"/>
        </w:rPr>
      </w:pPr>
      <w:r w:rsidRPr="004F4EE7">
        <w:rPr>
          <w:rFonts w:ascii="Calibri" w:hAnsi="Calibri" w:cs="Arial"/>
          <w:color w:val="595959" w:themeColor="text1" w:themeTint="A6"/>
        </w:rPr>
        <w:t>H</w:t>
      </w:r>
      <w:r w:rsidR="0019400B" w:rsidRPr="004F4EE7">
        <w:rPr>
          <w:rFonts w:ascii="Calibri" w:hAnsi="Calibri" w:cs="Arial"/>
          <w:color w:val="595959" w:themeColor="text1" w:themeTint="A6"/>
        </w:rPr>
        <w:t>ave a separate legal identity from their employees (including directors), who are paid salary from which tax is deducted and accounted for to the Inland Revenue.  When applicants include salaries as eligible costs, they must incur and defray them before claiming grant on them.</w:t>
      </w:r>
    </w:p>
    <w:p w:rsidR="00A07029" w:rsidRPr="004F4EE7" w:rsidRDefault="0019400B" w:rsidP="00B3076A">
      <w:pPr>
        <w:pStyle w:val="Heading4"/>
        <w:rPr>
          <w:rFonts w:ascii="Calibri" w:hAnsi="Calibri"/>
          <w:color w:val="595959" w:themeColor="text1" w:themeTint="A6"/>
        </w:rPr>
      </w:pPr>
      <w:r w:rsidRPr="004F4EE7">
        <w:rPr>
          <w:rFonts w:ascii="Calibri" w:hAnsi="Calibri"/>
          <w:color w:val="595959" w:themeColor="text1" w:themeTint="A6"/>
        </w:rPr>
        <w:t>Partnerships (including Limited Liability Partnerships) and Sole Traders</w:t>
      </w:r>
    </w:p>
    <w:p w:rsidR="0019400B" w:rsidRPr="004F4EE7" w:rsidRDefault="00A07029" w:rsidP="0019400B">
      <w:pPr>
        <w:rPr>
          <w:rFonts w:ascii="Calibri" w:hAnsi="Calibri" w:cs="Arial"/>
          <w:color w:val="595959" w:themeColor="text1" w:themeTint="A6"/>
        </w:rPr>
      </w:pPr>
      <w:r w:rsidRPr="004F4EE7">
        <w:rPr>
          <w:rFonts w:ascii="Calibri" w:hAnsi="Calibri" w:cs="Arial"/>
          <w:color w:val="595959" w:themeColor="text1" w:themeTint="A6"/>
        </w:rPr>
        <w:t>D</w:t>
      </w:r>
      <w:r w:rsidR="0019400B" w:rsidRPr="004F4EE7">
        <w:rPr>
          <w:rFonts w:ascii="Calibri" w:hAnsi="Calibri" w:cs="Arial"/>
          <w:color w:val="595959" w:themeColor="text1" w:themeTint="A6"/>
        </w:rPr>
        <w:t xml:space="preserve">o not have a separate legal identity from their businesses.  They own the business and accordingly they cannot pay (defray) themselves salaries.  They take profits or losses from which tax is deducted and accounted for to the Inland Revenue.  They may draw some money, but offset this against their capital/investment.  This does not affect the tax position that is computed before any </w:t>
      </w:r>
      <w:r w:rsidR="0019400B" w:rsidRPr="004F4EE7">
        <w:rPr>
          <w:rFonts w:ascii="Calibri" w:hAnsi="Calibri" w:cs="Arial"/>
          <w:bCs/>
          <w:color w:val="595959" w:themeColor="text1" w:themeTint="A6"/>
        </w:rPr>
        <w:t>drawings</w:t>
      </w:r>
      <w:r w:rsidR="0019400B" w:rsidRPr="004F4EE7">
        <w:rPr>
          <w:rFonts w:ascii="Calibri" w:hAnsi="Calibri" w:cs="Arial"/>
          <w:b/>
          <w:color w:val="595959" w:themeColor="text1" w:themeTint="A6"/>
        </w:rPr>
        <w:t>.</w:t>
      </w:r>
      <w:r w:rsidR="0019400B" w:rsidRPr="004F4EE7">
        <w:rPr>
          <w:rFonts w:ascii="Calibri" w:hAnsi="Calibri" w:cs="Arial"/>
          <w:color w:val="595959" w:themeColor="text1" w:themeTint="A6"/>
        </w:rPr>
        <w:t xml:space="preserve">  The value of the work put in to a project by a partner or sole trader as “salary” is purely notional. This means that, when the applicant makes a claim, it cannot be certified as “defrayed”. The method of verifying labour expenditure must be agreed at the application stage.</w:t>
      </w:r>
    </w:p>
    <w:p w:rsidR="0019400B" w:rsidRPr="004F4EE7" w:rsidRDefault="0019400B" w:rsidP="0019400B">
      <w:pPr>
        <w:rPr>
          <w:rFonts w:ascii="Calibri" w:hAnsi="Calibri" w:cs="Arial"/>
          <w:color w:val="595959" w:themeColor="text1" w:themeTint="A6"/>
        </w:rPr>
      </w:pPr>
      <w:r w:rsidRPr="004F4EE7">
        <w:rPr>
          <w:rFonts w:ascii="Calibri" w:hAnsi="Calibri" w:cs="Arial"/>
          <w:color w:val="595959" w:themeColor="text1" w:themeTint="A6"/>
        </w:rPr>
        <w:t xml:space="preserve">All labour costs, whether for directors, employees or “drawings” must be reasonable and fully justified in relation to the work being done. Labour costs must be consistent with established labour charges within the business.   For example, if a senior employee undertakes work that could be done by a junior the eligible cost should be based on the salary rate appropriate to the junior.  The rate of remuneration (hourly, daily or weekly rate) and an analysis of each individual’s labour put into the project should be agreed at the earliest possible stage of assessment, and the project costs should be modified if necessary before the project is approved.  Applicants must also maintain timesheets to record this information.  </w:t>
      </w:r>
    </w:p>
    <w:p w:rsidR="0019400B" w:rsidRPr="004F4EE7" w:rsidRDefault="0019400B" w:rsidP="00B3076A">
      <w:pPr>
        <w:pStyle w:val="Heading4"/>
        <w:rPr>
          <w:rFonts w:ascii="Calibri" w:hAnsi="Calibri"/>
          <w:color w:val="595959" w:themeColor="text1" w:themeTint="A6"/>
        </w:rPr>
      </w:pPr>
      <w:r w:rsidRPr="004F4EE7">
        <w:rPr>
          <w:rFonts w:ascii="Calibri" w:hAnsi="Calibri"/>
          <w:color w:val="595959" w:themeColor="text1" w:themeTint="A6"/>
        </w:rPr>
        <w:t xml:space="preserve">Overheads </w:t>
      </w:r>
    </w:p>
    <w:p w:rsidR="00273438" w:rsidRPr="004F4EE7" w:rsidRDefault="00273438" w:rsidP="00273438">
      <w:pPr>
        <w:numPr>
          <w:ilvl w:val="12"/>
          <w:numId w:val="0"/>
        </w:numPr>
        <w:rPr>
          <w:rFonts w:ascii="Calibri" w:hAnsi="Calibri" w:cs="Arial"/>
          <w:color w:val="595959" w:themeColor="text1" w:themeTint="A6"/>
        </w:rPr>
      </w:pPr>
      <w:r w:rsidRPr="004F4EE7">
        <w:rPr>
          <w:rFonts w:ascii="Calibri" w:hAnsi="Calibri" w:cs="Arial"/>
          <w:color w:val="595959" w:themeColor="text1" w:themeTint="A6"/>
        </w:rPr>
        <w:t>An allowance covering items of general application across the business (e.g. rent, rates, telephone), often too small or too difficult to establish for a specific project, would not be eligible unless it represents a direct allocation of expense to the R&amp;D project</w:t>
      </w:r>
      <w:r w:rsidR="001F5F7A" w:rsidRPr="004F4EE7">
        <w:rPr>
          <w:rFonts w:ascii="Calibri" w:hAnsi="Calibri" w:cs="Arial"/>
          <w:color w:val="595959" w:themeColor="text1" w:themeTint="A6"/>
        </w:rPr>
        <w:t>.</w:t>
      </w:r>
    </w:p>
    <w:p w:rsidR="00273438" w:rsidRPr="004F4EE7" w:rsidRDefault="00273438" w:rsidP="00273438">
      <w:pPr>
        <w:numPr>
          <w:ilvl w:val="12"/>
          <w:numId w:val="0"/>
        </w:numPr>
        <w:rPr>
          <w:rFonts w:ascii="Calibri" w:hAnsi="Calibri" w:cs="Arial"/>
          <w:color w:val="595959" w:themeColor="text1" w:themeTint="A6"/>
        </w:rPr>
      </w:pPr>
      <w:r w:rsidRPr="004F4EE7">
        <w:rPr>
          <w:rFonts w:ascii="Calibri" w:hAnsi="Calibri" w:cs="Arial"/>
          <w:color w:val="595959" w:themeColor="text1" w:themeTint="A6"/>
        </w:rPr>
        <w:t xml:space="preserve">Employer National Insurance, pension charges and healthcare contributions related to the labour directly involved in the project should be included under overheads. Such costs can only be included for labour directly involved in the project and exclude ineligible </w:t>
      </w:r>
      <w:r w:rsidR="008B4D90" w:rsidRPr="004F4EE7">
        <w:rPr>
          <w:rFonts w:ascii="Calibri" w:hAnsi="Calibri" w:cs="Arial"/>
          <w:color w:val="595959" w:themeColor="text1" w:themeTint="A6"/>
        </w:rPr>
        <w:t>items such as surplus capacity.</w:t>
      </w:r>
      <w:r w:rsidRPr="004F4EE7">
        <w:rPr>
          <w:rFonts w:ascii="Calibri" w:hAnsi="Calibri" w:cs="Arial"/>
          <w:color w:val="595959" w:themeColor="text1" w:themeTint="A6"/>
        </w:rPr>
        <w:t xml:space="preserve">  </w:t>
      </w:r>
    </w:p>
    <w:p w:rsidR="00273438" w:rsidRPr="004F4EE7" w:rsidRDefault="00273438"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 xml:space="preserve">The purchase of land and buildings is not eligible for support.  Land or building rented or leased wholly and exclusively for the project is eligible for support as part of general overheads. </w:t>
      </w:r>
    </w:p>
    <w:p w:rsidR="0019400B" w:rsidRPr="004F4EE7" w:rsidRDefault="0019400B" w:rsidP="00B3076A">
      <w:pPr>
        <w:pStyle w:val="Heading4"/>
        <w:rPr>
          <w:rFonts w:ascii="Calibri" w:hAnsi="Calibri"/>
          <w:color w:val="595959" w:themeColor="text1" w:themeTint="A6"/>
        </w:rPr>
      </w:pPr>
      <w:r w:rsidRPr="004F4EE7">
        <w:rPr>
          <w:rFonts w:ascii="Calibri" w:hAnsi="Calibri"/>
          <w:color w:val="595959" w:themeColor="text1" w:themeTint="A6"/>
        </w:rPr>
        <w:t>Materials and Consumables</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 xml:space="preserve">Items that have an expected useful life of over a year should be considered to be capital.  However, items that have a value of less than £500 may be classed as consumables and included under materials.  This will be clarified and agreed at the appraisal stage (but in any case, before an offer is made). </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All bought-in materials used for the project should be materials purchased from third parties.  All items such as materials, equipment or subcontracts, purchased from subsidiaries and associated companies must be charged at cost within the group.  Inter-group/associated companies may not add profit or overhead allowances to these charges.  When profit has been included, the applicant must make a deduction for profit and overheads, even if this is on an estimated basis.  Applicants may include the cost of raw materials up to the normal limit of trial wastage in the industry.  However, where scrap material has a significant resale or re-use value, the cost allowed should be net of the estimated disposal value.  This should be checked at the final claim/monitoring stage.</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Costs have not been defrayed where work/materials/services were obtained free of charge (i.e. in-kind contributions).  Such costs are therefore not eligible.</w:t>
      </w:r>
    </w:p>
    <w:p w:rsidR="0019400B" w:rsidRPr="004F4EE7" w:rsidRDefault="0019400B" w:rsidP="00B3076A">
      <w:pPr>
        <w:pStyle w:val="Heading4"/>
        <w:rPr>
          <w:rFonts w:ascii="Calibri" w:hAnsi="Calibri"/>
          <w:color w:val="595959" w:themeColor="text1" w:themeTint="A6"/>
        </w:rPr>
      </w:pPr>
      <w:r w:rsidRPr="004F4EE7">
        <w:rPr>
          <w:rFonts w:ascii="Calibri" w:hAnsi="Calibri"/>
          <w:color w:val="595959" w:themeColor="text1" w:themeTint="A6"/>
        </w:rPr>
        <w:lastRenderedPageBreak/>
        <w:t>External Costs</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 xml:space="preserve">Work accounting for less than 25% of the project costs need not be undertaken in </w:t>
      </w:r>
      <w:smartTag w:uri="urn:schemas-microsoft-com:office:smarttags" w:element="country-region">
        <w:smartTag w:uri="urn:schemas-microsoft-com:office:smarttags" w:element="place">
          <w:r w:rsidRPr="004F4EE7">
            <w:rPr>
              <w:rFonts w:ascii="Calibri" w:hAnsi="Calibri" w:cs="Arial"/>
              <w:color w:val="595959" w:themeColor="text1" w:themeTint="A6"/>
            </w:rPr>
            <w:t>England</w:t>
          </w:r>
        </w:smartTag>
      </w:smartTag>
      <w:r w:rsidRPr="004F4EE7">
        <w:rPr>
          <w:rFonts w:ascii="Calibri" w:hAnsi="Calibri" w:cs="Arial"/>
          <w:color w:val="595959" w:themeColor="text1" w:themeTint="A6"/>
        </w:rPr>
        <w:t>. Where external costs (such as sub-contracts, consultancy, fees for trials and testing, acquisition of technology and “buying-in” Intellectual Property Rights) exceed 25% (individually or collectively) of project costs, these costs must be properly explained and justified during the appraisal process.</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 xml:space="preserve">Where subcontract costs (especially a single subcontract) account for more than 50% of project costs, there is an assumption that the project is not controlled by the applicant and therefore the project will not be eligible for support.   The appraisal process will examine closely the fees charged when one consultant or sub-contractor carries out a major part of the project. This examination will ensure that the contractor or consultant really is a third party and that they do not inflate the charges and discount them later.  </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Where a grant recipient has sub-contracted work to an organisation part financed by public funding and that body properly invoices the grant recipient, double funding is not considered to have taken place.</w:t>
      </w:r>
    </w:p>
    <w:p w:rsidR="0019400B" w:rsidRPr="004F4EE7" w:rsidRDefault="0019400B" w:rsidP="00B3076A">
      <w:pPr>
        <w:pStyle w:val="Heading4"/>
        <w:rPr>
          <w:rFonts w:ascii="Calibri" w:hAnsi="Calibri"/>
          <w:color w:val="595959" w:themeColor="text1" w:themeTint="A6"/>
        </w:rPr>
      </w:pPr>
      <w:r w:rsidRPr="004F4EE7">
        <w:rPr>
          <w:rFonts w:ascii="Calibri" w:hAnsi="Calibri"/>
          <w:color w:val="595959" w:themeColor="text1" w:themeTint="A6"/>
        </w:rPr>
        <w:t>Consultancy</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 xml:space="preserve">Reasonable charges for external (third party) consultancy work essential to the project are eligible. </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 xml:space="preserve">Consultancy includes ‘intellectual and associated facility’ (that is, advice and use of physical resources such as laboratory equipment) support from experts such as Universities and/or technology providers, and professionals such as designers and usability experts who can provide intellectual input and can help guide technical development. All labour costs associated with working with consultants should be included under labour costs.  </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Applicants must justify the need to access the specialist services and explain why work cannot be carried out more effectively and cheaply in-house.   The reasonableness of the costs in the context of the total project costs will be clarified and agreed at the earliest possible stage of project assessment.</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 xml:space="preserve">Confidentiality agreements should be in place between the applicant and the consultant.  The consultant should have no rights to the Intellectual Property resulting from the project. </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 xml:space="preserve">Directors’ fees charged as consultants to their own companies are not eligible for grant support.  </w:t>
      </w:r>
    </w:p>
    <w:p w:rsidR="0019400B" w:rsidRPr="004F4EE7" w:rsidRDefault="0019400B" w:rsidP="00B3076A">
      <w:pPr>
        <w:pStyle w:val="Heading4"/>
        <w:rPr>
          <w:rFonts w:ascii="Calibri" w:hAnsi="Calibri"/>
          <w:color w:val="595959" w:themeColor="text1" w:themeTint="A6"/>
        </w:rPr>
      </w:pPr>
      <w:r w:rsidRPr="004F4EE7">
        <w:rPr>
          <w:rFonts w:ascii="Calibri" w:hAnsi="Calibri"/>
          <w:color w:val="595959" w:themeColor="text1" w:themeTint="A6"/>
        </w:rPr>
        <w:t>Subcontract</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 xml:space="preserve">The reasonable charges for external sub-contract work that is essential to the project are eligible.  Sub-contract work usually refers to the purchase of a service/building of a piece of kit requiring specialist facilities or equipment but requires no “intellectual input” for example design of printed circuit boards, building of rigs.  </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 xml:space="preserve">Any sub-contractor associated with the applicant or who is a subsidiary or a member of the same group of companies, must exclude its profit from any charge, even if this element has been estimated. </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 xml:space="preserve">Confidentiality agreements should be in place between the applicant and the sub-contractor.  The sub-contractor should have no rights to the Intellectual Property resulting from the project. </w:t>
      </w:r>
    </w:p>
    <w:p w:rsidR="0019400B" w:rsidRPr="004F4EE7" w:rsidRDefault="0019400B" w:rsidP="00B3076A">
      <w:pPr>
        <w:pStyle w:val="Heading4"/>
        <w:rPr>
          <w:rFonts w:ascii="Calibri" w:hAnsi="Calibri"/>
          <w:color w:val="595959" w:themeColor="text1" w:themeTint="A6"/>
        </w:rPr>
      </w:pPr>
      <w:r w:rsidRPr="004F4EE7">
        <w:rPr>
          <w:rFonts w:ascii="Calibri" w:hAnsi="Calibri"/>
          <w:color w:val="595959" w:themeColor="text1" w:themeTint="A6"/>
        </w:rPr>
        <w:t>Licensing in New Technology</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 xml:space="preserve">The cost to the project of licensing in new technology from technology providers (not involved in the project), which the project will build upon or utilise, is eligible. </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Applicants may source technology from suitable technology providers (e.g. RTOs, Contract Research &amp; Technology Organisations, HEIs or other appropriate public or private body). This is subject to them demonstrating they need to undertake further and/or joint development work on the technology and there is still technical risk involved in the project, in addition to any borne by the “technology provider”.</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 xml:space="preserve">Where it makes sense licensing-in should be encouraged (for example, where it would be more expensive or time consuming for an applicant to develop an appropriate technology itself).  What is being used and why it is required should be agreed at the application stage.  The applicant should provide satisfactory evidence that a licensing agreement is in place and that this covers both the development and exploitation stages of the Project.  </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 xml:space="preserve">Where imported technology accounts for a significant portion of the cost of the project, </w:t>
      </w:r>
      <w:r w:rsidR="00981B48" w:rsidRPr="004F4EE7">
        <w:rPr>
          <w:rFonts w:ascii="Calibri" w:hAnsi="Calibri" w:cs="Arial"/>
          <w:color w:val="595959" w:themeColor="text1" w:themeTint="A6"/>
        </w:rPr>
        <w:t>the Chamber</w:t>
      </w:r>
      <w:r w:rsidR="005E6E49" w:rsidRPr="004F4EE7">
        <w:rPr>
          <w:rFonts w:ascii="Calibri" w:hAnsi="Calibri" w:cs="Arial"/>
          <w:color w:val="595959" w:themeColor="text1" w:themeTint="A6"/>
        </w:rPr>
        <w:t xml:space="preserve"> </w:t>
      </w:r>
      <w:r w:rsidRPr="004F4EE7">
        <w:rPr>
          <w:rFonts w:ascii="Calibri" w:hAnsi="Calibri" w:cs="Arial"/>
          <w:color w:val="595959" w:themeColor="text1" w:themeTint="A6"/>
        </w:rPr>
        <w:t xml:space="preserve">should satisfy themselves that the applicant is proposing additional development to integrate the new technology into the project.  </w:t>
      </w:r>
    </w:p>
    <w:p w:rsidR="0019400B" w:rsidRPr="004F4EE7" w:rsidRDefault="0019400B" w:rsidP="00B3076A">
      <w:pPr>
        <w:pStyle w:val="Heading4"/>
        <w:rPr>
          <w:rFonts w:ascii="Calibri" w:hAnsi="Calibri"/>
          <w:color w:val="595959" w:themeColor="text1" w:themeTint="A6"/>
        </w:rPr>
      </w:pPr>
      <w:r w:rsidRPr="004F4EE7">
        <w:rPr>
          <w:rFonts w:ascii="Calibri" w:hAnsi="Calibri"/>
          <w:color w:val="595959" w:themeColor="text1" w:themeTint="A6"/>
        </w:rPr>
        <w:lastRenderedPageBreak/>
        <w:t>Fees for External Trials and Testing</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Fees for trials and testing are eligible (e.g. EMC testing), but Certification fees (e.g. EMC Certification) are not eligible as such costs are incurred post-production.  The scope of the work and the organisation to be used should be agreed at the earliest possible stage of project assessment.</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 xml:space="preserve">Confidentiality agreements should be in place with the applicant and any external party.  The external party should have no rights to the Intellectual Property resulting from the project. </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 xml:space="preserve">All labour costs associated with working on trials and testing activity should be included under labour costs. </w:t>
      </w:r>
    </w:p>
    <w:p w:rsidR="0019400B" w:rsidRPr="004F4EE7" w:rsidRDefault="0019400B" w:rsidP="00B3076A">
      <w:pPr>
        <w:pStyle w:val="Heading4"/>
        <w:rPr>
          <w:rFonts w:ascii="Calibri" w:hAnsi="Calibri"/>
          <w:color w:val="595959" w:themeColor="text1" w:themeTint="A6"/>
        </w:rPr>
      </w:pPr>
      <w:r w:rsidRPr="004F4EE7">
        <w:rPr>
          <w:rFonts w:ascii="Calibri" w:hAnsi="Calibri"/>
          <w:color w:val="595959" w:themeColor="text1" w:themeTint="A6"/>
        </w:rPr>
        <w:t>Preparation of Technical Manuals</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The cost of preparing draft operating, service and maintenance manuals is eligible (but must be separately identifiable as defrayed expenditure in the independent accountant’s Project Audit) but printing such manuals for general commercial supply will not qualify.</w:t>
      </w:r>
    </w:p>
    <w:p w:rsidR="0019400B" w:rsidRPr="004F4EE7" w:rsidRDefault="0019400B" w:rsidP="0019400B">
      <w:pPr>
        <w:numPr>
          <w:ilvl w:val="12"/>
          <w:numId w:val="0"/>
        </w:numPr>
        <w:rPr>
          <w:rFonts w:ascii="Calibri" w:hAnsi="Calibri" w:cs="Arial"/>
          <w:iCs/>
          <w:color w:val="595959" w:themeColor="text1" w:themeTint="A6"/>
        </w:rPr>
      </w:pPr>
      <w:r w:rsidRPr="004F4EE7">
        <w:rPr>
          <w:rFonts w:ascii="Calibri" w:hAnsi="Calibri" w:cs="Arial"/>
          <w:iCs/>
          <w:color w:val="595959" w:themeColor="text1" w:themeTint="A6"/>
        </w:rPr>
        <w:t>The process of authoring technical and user manuals can be a useful design tool helping to consider the p</w:t>
      </w:r>
      <w:r w:rsidR="00DC57EB" w:rsidRPr="004F4EE7">
        <w:rPr>
          <w:rFonts w:ascii="Calibri" w:hAnsi="Calibri" w:cs="Arial"/>
          <w:iCs/>
          <w:color w:val="595959" w:themeColor="text1" w:themeTint="A6"/>
        </w:rPr>
        <w:t xml:space="preserve">roduct from a user perspective </w:t>
      </w:r>
      <w:r w:rsidRPr="004F4EE7">
        <w:rPr>
          <w:rFonts w:ascii="Calibri" w:hAnsi="Calibri" w:cs="Arial"/>
          <w:iCs/>
          <w:color w:val="595959" w:themeColor="text1" w:themeTint="A6"/>
        </w:rPr>
        <w:t>– thinking how the product will be operated, serviced and maintained during the development phase rather than at the end can inform the technical specification of the technology/product.</w:t>
      </w:r>
    </w:p>
    <w:p w:rsidR="0019400B" w:rsidRPr="004F4EE7" w:rsidRDefault="0019400B" w:rsidP="00B3076A">
      <w:pPr>
        <w:pStyle w:val="Heading4"/>
        <w:rPr>
          <w:rFonts w:ascii="Calibri" w:hAnsi="Calibri"/>
          <w:color w:val="595959" w:themeColor="text1" w:themeTint="A6"/>
        </w:rPr>
      </w:pPr>
      <w:r w:rsidRPr="004F4EE7">
        <w:rPr>
          <w:rFonts w:ascii="Calibri" w:hAnsi="Calibri"/>
          <w:color w:val="595959" w:themeColor="text1" w:themeTint="A6"/>
        </w:rPr>
        <w:t>Intellectual Property and Patent Costs</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 xml:space="preserve">Costs for confidentiality agreements, Copyright or any other protection directly associated with the project and protection and maintenance of the IPR are eligible; for example, software copyright - mailing of source code/NCC copyright register.  This must be agreed at application/appraisal stage. </w:t>
      </w:r>
    </w:p>
    <w:p w:rsidR="0019400B" w:rsidRPr="004F4EE7" w:rsidRDefault="0019400B" w:rsidP="0019400B">
      <w:pPr>
        <w:numPr>
          <w:ilvl w:val="12"/>
          <w:numId w:val="0"/>
        </w:numPr>
        <w:rPr>
          <w:rFonts w:ascii="Calibri" w:hAnsi="Calibri" w:cs="Arial"/>
        </w:rPr>
      </w:pPr>
      <w:r w:rsidRPr="004F4EE7">
        <w:rPr>
          <w:rFonts w:ascii="Calibri" w:hAnsi="Calibri" w:cs="Arial"/>
          <w:color w:val="595959" w:themeColor="text1" w:themeTint="A6"/>
        </w:rPr>
        <w:t>The cost associated with taking out and maintaining a patent to protect the Intellectual Property Rights arising from the project (including the cost of patent searches) is eligible for support.  It is particularly important to ensure that those applying are not held back because they cannot afford to patent the results of their project.  In all cases, applicants will have to demonstrate that patenting to the extent proposed is necessary.  For example, there is little point in applying for worldwide patents, if the applicant can obtain appropriate protection through registering patents in the major markets for the product/process.</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 xml:space="preserve">Projects are focused on R&amp;D work and patent costs (or costs of intellectual property protection) should only form a minor (supporting) part of overall project costs.   </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The cost of patenting work undertaken during a previous project is not eligible.</w:t>
      </w:r>
    </w:p>
    <w:p w:rsidR="0019400B" w:rsidRPr="004F4EE7" w:rsidRDefault="0019400B" w:rsidP="00B3076A">
      <w:pPr>
        <w:pStyle w:val="Heading4"/>
        <w:rPr>
          <w:rFonts w:ascii="Calibri" w:hAnsi="Calibri"/>
          <w:color w:val="595959" w:themeColor="text1" w:themeTint="A6"/>
        </w:rPr>
      </w:pPr>
      <w:r w:rsidRPr="004F4EE7">
        <w:rPr>
          <w:rFonts w:ascii="Calibri" w:hAnsi="Calibri"/>
          <w:color w:val="595959" w:themeColor="text1" w:themeTint="A6"/>
        </w:rPr>
        <w:t>Capital Equipment</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Depreciation of capital equipment purchased specifically for the project is eligible and should be classed as capital expenditure.</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A full list of the capital equipment should be agreed at the earliest possible stage of the project assessment. The residual value and useful life of equipment will be agreed with the applicant as part of the appraisal process.  Without clear evidence of the useful life of equipment, 5 years represents a typical useful life for mechanical equipment and 3 years for computer hardware.  The depreciation rates used should normally be in line with those used in the annual accounts. Interest payments on hire purchase and leasing of equipment are not eligible for support.  The residual value should be deducted at the time of the claim.</w:t>
      </w:r>
    </w:p>
    <w:p w:rsidR="0019400B" w:rsidRPr="004F4EE7" w:rsidRDefault="0019400B" w:rsidP="0019400B">
      <w:pPr>
        <w:numPr>
          <w:ilvl w:val="12"/>
          <w:numId w:val="0"/>
        </w:numPr>
        <w:rPr>
          <w:rFonts w:ascii="Calibri" w:hAnsi="Calibri" w:cs="Arial"/>
          <w:color w:val="595959" w:themeColor="text1" w:themeTint="A6"/>
        </w:rPr>
      </w:pPr>
      <w:r w:rsidRPr="004F4EE7">
        <w:rPr>
          <w:rFonts w:ascii="Calibri" w:hAnsi="Calibri" w:cs="Arial"/>
          <w:color w:val="595959" w:themeColor="text1" w:themeTint="A6"/>
        </w:rPr>
        <w:t xml:space="preserve">Capital equipment purchased for the project is eligible for </w:t>
      </w:r>
      <w:r w:rsidR="00F25775" w:rsidRPr="004F4EE7">
        <w:rPr>
          <w:rFonts w:ascii="Calibri" w:hAnsi="Calibri" w:cs="Arial"/>
          <w:color w:val="595959" w:themeColor="text1" w:themeTint="A6"/>
        </w:rPr>
        <w:t>support on the following basis:</w:t>
      </w:r>
    </w:p>
    <w:p w:rsidR="0019400B" w:rsidRPr="004F4EE7" w:rsidRDefault="00F25775" w:rsidP="00F61707">
      <w:pPr>
        <w:pStyle w:val="ListParagraph"/>
        <w:numPr>
          <w:ilvl w:val="0"/>
          <w:numId w:val="20"/>
        </w:numPr>
        <w:rPr>
          <w:rFonts w:ascii="Calibri" w:hAnsi="Calibri"/>
          <w:color w:val="595959" w:themeColor="text1" w:themeTint="A6"/>
        </w:rPr>
      </w:pPr>
      <w:r w:rsidRPr="004F4EE7">
        <w:rPr>
          <w:rFonts w:ascii="Calibri" w:hAnsi="Calibri"/>
          <w:color w:val="595959" w:themeColor="text1" w:themeTint="A6"/>
        </w:rPr>
        <w:t>i</w:t>
      </w:r>
      <w:r w:rsidR="0019400B" w:rsidRPr="004F4EE7">
        <w:rPr>
          <w:rFonts w:ascii="Calibri" w:hAnsi="Calibri"/>
          <w:color w:val="595959" w:themeColor="text1" w:themeTint="A6"/>
        </w:rPr>
        <w:t xml:space="preserve">f the grant recipient does not complete the project, support will be at the percentage of grant agreed in the offer, less </w:t>
      </w:r>
      <w:r w:rsidRPr="004F4EE7">
        <w:rPr>
          <w:rFonts w:ascii="Calibri" w:hAnsi="Calibri"/>
          <w:color w:val="595959" w:themeColor="text1" w:themeTint="A6"/>
        </w:rPr>
        <w:t>the residual value when halted</w:t>
      </w:r>
    </w:p>
    <w:p w:rsidR="0019400B" w:rsidRPr="004F4EE7" w:rsidRDefault="00F25775" w:rsidP="00F61707">
      <w:pPr>
        <w:pStyle w:val="ListParagraph"/>
        <w:numPr>
          <w:ilvl w:val="0"/>
          <w:numId w:val="20"/>
        </w:numPr>
        <w:rPr>
          <w:rFonts w:ascii="Calibri" w:hAnsi="Calibri"/>
          <w:color w:val="595959" w:themeColor="text1" w:themeTint="A6"/>
        </w:rPr>
      </w:pPr>
      <w:r w:rsidRPr="004F4EE7">
        <w:rPr>
          <w:rFonts w:ascii="Calibri" w:hAnsi="Calibri"/>
          <w:color w:val="595959" w:themeColor="text1" w:themeTint="A6"/>
        </w:rPr>
        <w:t>i</w:t>
      </w:r>
      <w:r w:rsidR="0019400B" w:rsidRPr="004F4EE7">
        <w:rPr>
          <w:rFonts w:ascii="Calibri" w:hAnsi="Calibri"/>
          <w:color w:val="595959" w:themeColor="text1" w:themeTint="A6"/>
        </w:rPr>
        <w:t>f the project finishes, support will be at the percentage of</w:t>
      </w:r>
      <w:r w:rsidR="0019400B" w:rsidRPr="004F4EE7">
        <w:rPr>
          <w:rFonts w:ascii="Calibri" w:hAnsi="Calibri"/>
          <w:b/>
          <w:color w:val="595959" w:themeColor="text1" w:themeTint="A6"/>
        </w:rPr>
        <w:t xml:space="preserve"> </w:t>
      </w:r>
      <w:r w:rsidR="0019400B" w:rsidRPr="004F4EE7">
        <w:rPr>
          <w:rFonts w:ascii="Calibri" w:hAnsi="Calibri"/>
          <w:color w:val="595959" w:themeColor="text1" w:themeTint="A6"/>
        </w:rPr>
        <w:t>grant agreed in the offer of depreciation co</w:t>
      </w:r>
      <w:r w:rsidRPr="004F4EE7">
        <w:rPr>
          <w:rFonts w:ascii="Calibri" w:hAnsi="Calibri"/>
          <w:color w:val="595959" w:themeColor="text1" w:themeTint="A6"/>
        </w:rPr>
        <w:t>sts for the life of the project</w:t>
      </w:r>
      <w:r w:rsidR="0019400B" w:rsidRPr="004F4EE7">
        <w:rPr>
          <w:rFonts w:ascii="Calibri" w:hAnsi="Calibri"/>
          <w:color w:val="595959" w:themeColor="text1" w:themeTint="A6"/>
        </w:rPr>
        <w:t xml:space="preserve">  </w:t>
      </w:r>
    </w:p>
    <w:p w:rsidR="0043018E" w:rsidRPr="004F4EE7" w:rsidRDefault="0043018E" w:rsidP="0043018E">
      <w:pPr>
        <w:rPr>
          <w:rFonts w:ascii="Calibri" w:hAnsi="Calibri"/>
          <w:color w:val="595959" w:themeColor="text1" w:themeTint="A6"/>
        </w:rPr>
      </w:pPr>
    </w:p>
    <w:p w:rsidR="0043018E" w:rsidRPr="004F4EE7" w:rsidRDefault="0043018E" w:rsidP="0043018E">
      <w:pPr>
        <w:rPr>
          <w:rFonts w:ascii="Calibri" w:hAnsi="Calibri"/>
          <w:color w:val="595959" w:themeColor="text1" w:themeTint="A6"/>
        </w:rPr>
      </w:pPr>
    </w:p>
    <w:p w:rsidR="009A69DE" w:rsidRPr="004F4EE7" w:rsidRDefault="009A69DE">
      <w:pPr>
        <w:spacing w:after="200" w:line="276" w:lineRule="auto"/>
        <w:jc w:val="left"/>
        <w:rPr>
          <w:rFonts w:ascii="Calibri" w:hAnsi="Calibri"/>
          <w:color w:val="595959" w:themeColor="text1" w:themeTint="A6"/>
        </w:rPr>
      </w:pPr>
      <w:r w:rsidRPr="004F4EE7">
        <w:rPr>
          <w:rFonts w:ascii="Calibri" w:hAnsi="Calibri"/>
          <w:color w:val="595959" w:themeColor="text1" w:themeTint="A6"/>
        </w:rPr>
        <w:br w:type="page"/>
      </w:r>
    </w:p>
    <w:p w:rsidR="0043018E" w:rsidRPr="00F73C3A" w:rsidRDefault="0043018E" w:rsidP="00854ED5">
      <w:pPr>
        <w:pStyle w:val="Heading1"/>
        <w:rPr>
          <w:rFonts w:ascii="Calibri" w:hAnsi="Calibri"/>
          <w:color w:val="262626" w:themeColor="text1" w:themeTint="D9"/>
        </w:rPr>
      </w:pPr>
      <w:r w:rsidRPr="00F73C3A">
        <w:rPr>
          <w:rFonts w:ascii="Calibri" w:hAnsi="Calibri"/>
          <w:color w:val="262626" w:themeColor="text1" w:themeTint="D9"/>
        </w:rPr>
        <w:lastRenderedPageBreak/>
        <w:t>ANNEX E: FLOWCHART FOR LARGE COMPANIES SEEKING REGIONAL AID</w:t>
      </w:r>
    </w:p>
    <w:p w:rsidR="0043018E" w:rsidRPr="00F73C3A" w:rsidRDefault="0043018E" w:rsidP="0043018E">
      <w:pPr>
        <w:rPr>
          <w:rFonts w:ascii="Calibri" w:hAnsi="Calibri" w:cs="Arial"/>
          <w:color w:val="262626" w:themeColor="text1" w:themeTint="D9"/>
          <w:szCs w:val="20"/>
        </w:rPr>
      </w:pPr>
      <w:r w:rsidRPr="00F73C3A">
        <w:rPr>
          <w:rFonts w:ascii="Calibri" w:hAnsi="Calibri" w:cs="Arial"/>
          <w:color w:val="262626" w:themeColor="text1" w:themeTint="D9"/>
          <w:szCs w:val="20"/>
        </w:rPr>
        <w:t>Eligibility for large companies in “c” areas to receive regional aid in connection with setting up a new establishment or diversifying activities of an existing establishment</w:t>
      </w:r>
    </w:p>
    <w:p w:rsidR="0043018E" w:rsidRPr="00F73C3A" w:rsidRDefault="0043018E" w:rsidP="0043018E">
      <w:pPr>
        <w:spacing w:after="240"/>
        <w:rPr>
          <w:rFonts w:ascii="Calibri" w:hAnsi="Calibri" w:cs="Arial"/>
          <w:color w:val="262626" w:themeColor="text1" w:themeTint="D9"/>
          <w:szCs w:val="20"/>
        </w:rPr>
      </w:pP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61312" behindDoc="0" locked="0" layoutInCell="1" allowOverlap="1" wp14:anchorId="6DF6AB95" wp14:editId="2B21689E">
                <wp:simplePos x="0" y="0"/>
                <wp:positionH relativeFrom="column">
                  <wp:posOffset>15240</wp:posOffset>
                </wp:positionH>
                <wp:positionV relativeFrom="paragraph">
                  <wp:posOffset>273050</wp:posOffset>
                </wp:positionV>
                <wp:extent cx="4518660" cy="441960"/>
                <wp:effectExtent l="0" t="0" r="15240" b="152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441960"/>
                        </a:xfrm>
                        <a:prstGeom prst="rect">
                          <a:avLst/>
                        </a:prstGeom>
                        <a:solidFill>
                          <a:srgbClr val="FFFFFF"/>
                        </a:solidFill>
                        <a:ln w="9525">
                          <a:solidFill>
                            <a:srgbClr val="000000"/>
                          </a:solidFill>
                          <a:miter lim="800000"/>
                          <a:headEnd/>
                          <a:tailEnd/>
                        </a:ln>
                      </wps:spPr>
                      <wps:txbx>
                        <w:txbxContent>
                          <w:p w:rsidR="00F73C3A" w:rsidRPr="009A69DE" w:rsidRDefault="00F73C3A" w:rsidP="0043018E">
                            <w:pPr>
                              <w:rPr>
                                <w:rFonts w:ascii="Verdana" w:hAnsi="Verdana" w:cs="Arial"/>
                                <w:color w:val="595959" w:themeColor="text1" w:themeTint="A6"/>
                                <w:sz w:val="22"/>
                              </w:rPr>
                            </w:pPr>
                            <w:r w:rsidRPr="009A69DE">
                              <w:rPr>
                                <w:rFonts w:ascii="Verdana" w:hAnsi="Verdana" w:cs="Arial"/>
                                <w:color w:val="595959" w:themeColor="text1" w:themeTint="A6"/>
                                <w:sz w:val="22"/>
                              </w:rPr>
                              <w:t>Does the investment relate to setting up a new establishment?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6AB95" id="_x0000_t202" coordsize="21600,21600" o:spt="202" path="m,l,21600r21600,l21600,xe">
                <v:stroke joinstyle="miter"/>
                <v:path gradientshapeok="t" o:connecttype="rect"/>
              </v:shapetype>
              <v:shape id="Text Box 307" o:spid="_x0000_s1026" type="#_x0000_t202" style="position:absolute;left:0;text-align:left;margin-left:1.2pt;margin-top:21.5pt;width:355.8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8+WJAIAAEgEAAAOAAAAZHJzL2Uyb0RvYy54bWysVNtu2zAMfR+wfxD0vtjJnDQ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Kbir7Orygx&#10;TGOTHsQQyBsYSLxDhnrrS3S8t+gaBjRgp1O13t4B/+qJgW3HzF7cOAd9J1iDGU7jy+zi6YjjI0jd&#10;f4AGA7FDgAQ0tE5H+pAQgujYqcdzd2IyHC+L+XS5WKCJo60opiuUYwhWPr22zod3AjSJQkUddj+h&#10;s+OdD6Prk0sM5kHJZieVSorb11vlyJHhpOzSd0L/yU0Z0ld0NZ/NRwL+CpGn708QWgYceSV1RZdn&#10;J1ZG2t6aBtNkZWBSjTJWp8yJx0jdSGIY6gEdI7k1NI/IqINxtHEVUejAfaekx7GuqP92YE5Qot4b&#10;7MpqWhRxD5JSzK9mqLhLS31pYYYjVEUDJaO4DWl3Yo4GbrB7rUzEPmdyyhXHNbXmtFpxHy715PX8&#10;A9j8AAAA//8DAFBLAwQUAAYACAAAACEAJqdhet4AAAAIAQAADwAAAGRycy9kb3ducmV2LnhtbEyP&#10;wU7DMBBE70j8g7VIXBB1kkZpCXEqhASCWykIrm68TSLidbDdNPw9ywluO5qn2ZlqM9tBTOhD70hB&#10;ukhAIDXO9NQqeHt9uF6DCFGT0YMjVPCNATb1+VmlS+NO9ILTLraCQyiUWkEX41hKGZoOrQ4LNyKx&#10;d3De6sjSt9J4feJwO8gsSQppdU/8odMj3nfYfO6OVsE6f5o+wvNy+94Uh+EmXq2mxy+v1OXFfHcL&#10;IuIc/2D4rc/VoeZOe3ckE8SgIMsZVJAveRHbqzTnY89cmhUg60r+H1D/AAAA//8DAFBLAQItABQA&#10;BgAIAAAAIQC2gziS/gAAAOEBAAATAAAAAAAAAAAAAAAAAAAAAABbQ29udGVudF9UeXBlc10ueG1s&#10;UEsBAi0AFAAGAAgAAAAhADj9If/WAAAAlAEAAAsAAAAAAAAAAAAAAAAALwEAAF9yZWxzLy5yZWxz&#10;UEsBAi0AFAAGAAgAAAAhAA/Tz5YkAgAASAQAAA4AAAAAAAAAAAAAAAAALgIAAGRycy9lMm9Eb2Mu&#10;eG1sUEsBAi0AFAAGAAgAAAAhACanYXreAAAACAEAAA8AAAAAAAAAAAAAAAAAfgQAAGRycy9kb3du&#10;cmV2LnhtbFBLBQYAAAAABAAEAPMAAACJBQAAAAA=&#10;">
                <v:textbox>
                  <w:txbxContent>
                    <w:p w:rsidR="00F73C3A" w:rsidRPr="009A69DE" w:rsidRDefault="00F73C3A" w:rsidP="0043018E">
                      <w:pPr>
                        <w:rPr>
                          <w:rFonts w:ascii="Verdana" w:hAnsi="Verdana" w:cs="Arial"/>
                          <w:color w:val="595959" w:themeColor="text1" w:themeTint="A6"/>
                          <w:sz w:val="22"/>
                        </w:rPr>
                      </w:pPr>
                      <w:r w:rsidRPr="009A69DE">
                        <w:rPr>
                          <w:rFonts w:ascii="Verdana" w:hAnsi="Verdana" w:cs="Arial"/>
                          <w:color w:val="595959" w:themeColor="text1" w:themeTint="A6"/>
                          <w:sz w:val="22"/>
                        </w:rPr>
                        <w:t>Does the investment relate to setting up a new establishment?</w:t>
                      </w:r>
                    </w:p>
                  </w:txbxContent>
                </v:textbox>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62336" behindDoc="0" locked="0" layoutInCell="1" allowOverlap="1" wp14:anchorId="3BB7480C" wp14:editId="0153B540">
                <wp:simplePos x="0" y="0"/>
                <wp:positionH relativeFrom="column">
                  <wp:posOffset>30480</wp:posOffset>
                </wp:positionH>
                <wp:positionV relativeFrom="paragraph">
                  <wp:posOffset>1189355</wp:posOffset>
                </wp:positionV>
                <wp:extent cx="556260" cy="403860"/>
                <wp:effectExtent l="0" t="0" r="15240" b="152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03860"/>
                        </a:xfrm>
                        <a:prstGeom prst="rect">
                          <a:avLst/>
                        </a:prstGeom>
                        <a:solidFill>
                          <a:srgbClr val="FFFFFF"/>
                        </a:solidFill>
                        <a:ln w="9525">
                          <a:solidFill>
                            <a:srgbClr val="000000"/>
                          </a:solidFill>
                          <a:miter lim="800000"/>
                          <a:headEnd/>
                          <a:tailEnd/>
                        </a:ln>
                      </wps:spPr>
                      <wps:txbx>
                        <w:txbxContent>
                          <w:p w:rsidR="00F73C3A" w:rsidRPr="009A69DE" w:rsidRDefault="00F73C3A" w:rsidP="0043018E">
                            <w:pPr>
                              <w:rPr>
                                <w:rFonts w:ascii="Verdana" w:hAnsi="Verdana" w:cs="Arial"/>
                                <w:color w:val="595959" w:themeColor="text1" w:themeTint="A6"/>
                                <w:sz w:val="22"/>
                              </w:rPr>
                            </w:pPr>
                            <w:r w:rsidRPr="009A69DE">
                              <w:rPr>
                                <w:rFonts w:ascii="Verdana" w:hAnsi="Verdana" w:cs="Arial"/>
                                <w:color w:val="595959" w:themeColor="text1" w:themeTint="A6"/>
                                <w:sz w:val="2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7480C" id="Text Box 36" o:spid="_x0000_s1027" type="#_x0000_t202" style="position:absolute;left:0;text-align:left;margin-left:2.4pt;margin-top:93.65pt;width:43.8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7JQIAAEwEAAAOAAAAZHJzL2Uyb0RvYy54bWysVNtu2zAMfR+wfxD0vjhJkyw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NVwa8WnFkw&#10;1KNH2Qf2BntGV8RP1/qc3B5acgw93VOfU62+vUfx1TOLmwbsTt46h10joaL8JvFldvF0wPERpOw+&#10;YEVxYB8wAfW1M5E8ooMROvXpeO5NzEXQ5Xy+mC7IIsg0G18tSY4RIH963Dof3kk0LAoFd9T6BA6H&#10;ex8G1yeXGMujVtVWaZ0Utys32rED0Jhs03dC/8lNW9YV/Ho+nQ/1/xVinL4/QRgVaN61MgVfnp0g&#10;j6y9tRWlCXkApQeZqtP2RGNkbuAw9GWfOpY4jhSXWB2JV4fDeNM6ktCg+85ZR6NdcP9tD05ypt9b&#10;6s31ZDaLu5CU2fz1lBR3aSkvLWAFQRU8cDaIm5D2J6Zq8ZZ6WKvE73Mmp5RpZFOHTusVd+JST17P&#10;P4H1DwAAAP//AwBQSwMEFAAGAAgAAAAhANJ8wVjfAAAACAEAAA8AAABkcnMvZG93bnJldi54bWxM&#10;j8FOwzAQRO9I/IO1SFwQdUhDm4Q4FUICwQ0Kgqsbb5OIeB1sNw1/z3KC486MZt5Wm9kOYkIfekcK&#10;rhYJCKTGmZ5aBW+v95c5iBA1GT04QgXfGGBTn55UujTuSC84bWMruIRCqRV0MY6llKHp0OqwcCMS&#10;e3vnrY58+lYar49cbgeZJslKWt0TL3R6xLsOm8/twSrIs8fpIzwtn9+b1X4o4sV6evjySp2fzbc3&#10;ICLO8S8Mv/iMDjUz7dyBTBCDgozBI8v5egmC/SLNQOwUpNdJAbKu5P8H6h8AAAD//wMAUEsBAi0A&#10;FAAGAAgAAAAhALaDOJL+AAAA4QEAABMAAAAAAAAAAAAAAAAAAAAAAFtDb250ZW50X1R5cGVzXS54&#10;bWxQSwECLQAUAAYACAAAACEAOP0h/9YAAACUAQAACwAAAAAAAAAAAAAAAAAvAQAAX3JlbHMvLnJl&#10;bHNQSwECLQAUAAYACAAAACEAPx4ROyUCAABMBAAADgAAAAAAAAAAAAAAAAAuAgAAZHJzL2Uyb0Rv&#10;Yy54bWxQSwECLQAUAAYACAAAACEA0nzBWN8AAAAIAQAADwAAAAAAAAAAAAAAAAB/BAAAZHJzL2Rv&#10;d25yZXYueG1sUEsFBgAAAAAEAAQA8wAAAIsFAAAAAA==&#10;">
                <v:textbox>
                  <w:txbxContent>
                    <w:p w:rsidR="00F73C3A" w:rsidRPr="009A69DE" w:rsidRDefault="00F73C3A" w:rsidP="0043018E">
                      <w:pPr>
                        <w:rPr>
                          <w:rFonts w:ascii="Verdana" w:hAnsi="Verdana" w:cs="Arial"/>
                          <w:color w:val="595959" w:themeColor="text1" w:themeTint="A6"/>
                          <w:sz w:val="22"/>
                        </w:rPr>
                      </w:pPr>
                      <w:r w:rsidRPr="009A69DE">
                        <w:rPr>
                          <w:rFonts w:ascii="Verdana" w:hAnsi="Verdana" w:cs="Arial"/>
                          <w:color w:val="595959" w:themeColor="text1" w:themeTint="A6"/>
                          <w:sz w:val="22"/>
                        </w:rPr>
                        <w:t>Yes</w:t>
                      </w:r>
                    </w:p>
                  </w:txbxContent>
                </v:textbox>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63360" behindDoc="0" locked="0" layoutInCell="1" allowOverlap="1" wp14:anchorId="035D1745" wp14:editId="25525C54">
                <wp:simplePos x="0" y="0"/>
                <wp:positionH relativeFrom="column">
                  <wp:posOffset>2583180</wp:posOffset>
                </wp:positionH>
                <wp:positionV relativeFrom="paragraph">
                  <wp:posOffset>1184275</wp:posOffset>
                </wp:positionV>
                <wp:extent cx="556260" cy="403860"/>
                <wp:effectExtent l="0" t="0" r="15240" b="152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03860"/>
                        </a:xfrm>
                        <a:prstGeom prst="rect">
                          <a:avLst/>
                        </a:prstGeom>
                        <a:solidFill>
                          <a:srgbClr val="FFFFFF"/>
                        </a:solidFill>
                        <a:ln w="9525">
                          <a:solidFill>
                            <a:srgbClr val="000000"/>
                          </a:solidFill>
                          <a:miter lim="800000"/>
                          <a:headEnd/>
                          <a:tailEnd/>
                        </a:ln>
                      </wps:spPr>
                      <wps:txbx>
                        <w:txbxContent>
                          <w:p w:rsidR="00F73C3A" w:rsidRPr="009A69DE" w:rsidRDefault="00F73C3A" w:rsidP="0043018E">
                            <w:pPr>
                              <w:rPr>
                                <w:rFonts w:ascii="Verdana" w:hAnsi="Verdana" w:cs="Arial"/>
                                <w:color w:val="595959" w:themeColor="text1" w:themeTint="A6"/>
                                <w:sz w:val="22"/>
                              </w:rPr>
                            </w:pPr>
                            <w:r w:rsidRPr="009A69DE">
                              <w:rPr>
                                <w:rFonts w:ascii="Verdana" w:hAnsi="Verdana" w:cs="Arial"/>
                                <w:color w:val="595959" w:themeColor="text1" w:themeTint="A6"/>
                                <w:sz w:val="2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D1745" id="Text Box 35" o:spid="_x0000_s1028" type="#_x0000_t202" style="position:absolute;left:0;text-align:left;margin-left:203.4pt;margin-top:93.25pt;width:43.8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baJQIAAEw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s5JYZp&#10;7NGjGAJ5AwPBK+Snt75EtweLjmHAe+xzqtXbe+BfPTGw6ZjZiVvnoO8EazC/aXyZXTwdcXwEqfsP&#10;0GActg+QgIbW6Uge0kEQHft0PPcm5sLxcj5fFAu0cDTN8qslyjECK58eW+fDOwGaRKGiDlufwNnh&#10;3ofR9cklxvKgZLOVSiXF7eqNcuTAcEy26Tuh/+SmDOkrej0v5mP9f4XI0/cnCC0DzruSuqLLsxMr&#10;I2tvTYNpsjIwqUYZq1PmRGNkbuQwDPWQOlbEAJHiGpoj8upgHG9cRxQ6cN8p6XG0K+q/7ZkTlKj3&#10;BntzPZ3N4i4kZTZ/XaDiLi31pYUZjlAVDZSM4iak/YmpGrjFHrYy8fucySllHNnUodN6xZ241JPX&#10;809g/QMAAP//AwBQSwMEFAAGAAgAAAAhAKu4pKbhAAAACwEAAA8AAABkcnMvZG93bnJldi54bWxM&#10;j8FOwzAQRO9I/IO1SFwQtVvckIY4FUICwQ3aCq5u4iYR9jrYbhr+nuUEx9GMZt6U68lZNpoQe48K&#10;5jMBzGDtmx5bBbvt43UOLCaNjbYejYJvE2FdnZ+Vumj8Cd/MuEktoxKMhVbQpTQUnMe6M07HmR8M&#10;knfwwelEMrS8CfpE5c7yhRAZd7pHWuj0YB46U39ujk5BLp/Hj/hy8/peZwe7Sle349NXUOryYrq/&#10;A5bMlP7C8ItP6FAR094fsYnMKpAiI/RERp4tgVFCrqQEtlewWIo58Krk/z9UPwAAAP//AwBQSwEC&#10;LQAUAAYACAAAACEAtoM4kv4AAADhAQAAEwAAAAAAAAAAAAAAAAAAAAAAW0NvbnRlbnRfVHlwZXNd&#10;LnhtbFBLAQItABQABgAIAAAAIQA4/SH/1gAAAJQBAAALAAAAAAAAAAAAAAAAAC8BAABfcmVscy8u&#10;cmVsc1BLAQItABQABgAIAAAAIQCsUIbaJQIAAEwEAAAOAAAAAAAAAAAAAAAAAC4CAABkcnMvZTJv&#10;RG9jLnhtbFBLAQItABQABgAIAAAAIQCruKSm4QAAAAsBAAAPAAAAAAAAAAAAAAAAAH8EAABkcnMv&#10;ZG93bnJldi54bWxQSwUGAAAAAAQABADzAAAAjQUAAAAA&#10;">
                <v:textbox>
                  <w:txbxContent>
                    <w:p w:rsidR="00F73C3A" w:rsidRPr="009A69DE" w:rsidRDefault="00F73C3A" w:rsidP="0043018E">
                      <w:pPr>
                        <w:rPr>
                          <w:rFonts w:ascii="Verdana" w:hAnsi="Verdana" w:cs="Arial"/>
                          <w:color w:val="595959" w:themeColor="text1" w:themeTint="A6"/>
                          <w:sz w:val="22"/>
                        </w:rPr>
                      </w:pPr>
                      <w:r w:rsidRPr="009A69DE">
                        <w:rPr>
                          <w:rFonts w:ascii="Verdana" w:hAnsi="Verdana" w:cs="Arial"/>
                          <w:color w:val="595959" w:themeColor="text1" w:themeTint="A6"/>
                          <w:sz w:val="22"/>
                        </w:rPr>
                        <w:t>No</w:t>
                      </w:r>
                    </w:p>
                  </w:txbxContent>
                </v:textbox>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64384" behindDoc="0" locked="0" layoutInCell="1" allowOverlap="1" wp14:anchorId="63ACD292" wp14:editId="78171399">
                <wp:simplePos x="0" y="0"/>
                <wp:positionH relativeFrom="column">
                  <wp:posOffset>30480</wp:posOffset>
                </wp:positionH>
                <wp:positionV relativeFrom="paragraph">
                  <wp:posOffset>3964305</wp:posOffset>
                </wp:positionV>
                <wp:extent cx="4069080" cy="899160"/>
                <wp:effectExtent l="0" t="0" r="26670" b="152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899160"/>
                        </a:xfrm>
                        <a:prstGeom prst="rect">
                          <a:avLst/>
                        </a:prstGeom>
                        <a:solidFill>
                          <a:srgbClr val="FFFFFF"/>
                        </a:solidFill>
                        <a:ln w="9525">
                          <a:solidFill>
                            <a:srgbClr val="000000"/>
                          </a:solidFill>
                          <a:miter lim="800000"/>
                          <a:headEnd/>
                          <a:tailEnd/>
                        </a:ln>
                      </wps:spPr>
                      <wps:txbx>
                        <w:txbxContent>
                          <w:p w:rsidR="00F73C3A" w:rsidRPr="009A69DE" w:rsidRDefault="00F73C3A" w:rsidP="0043018E">
                            <w:pPr>
                              <w:rPr>
                                <w:rFonts w:ascii="Verdana" w:hAnsi="Verdana" w:cs="Arial"/>
                                <w:color w:val="595959" w:themeColor="text1" w:themeTint="A6"/>
                                <w:sz w:val="22"/>
                              </w:rPr>
                            </w:pPr>
                            <w:r w:rsidRPr="009A69DE">
                              <w:rPr>
                                <w:rFonts w:ascii="Verdana" w:hAnsi="Verdana" w:cs="Arial"/>
                                <w:color w:val="595959" w:themeColor="text1" w:themeTint="A6"/>
                                <w:sz w:val="22"/>
                              </w:rPr>
                              <w:t>Has the beneficiary closed activities under same 4-digit NACE code anywhere in the EEA in the past 2 years or does it have plans to do so before two years after the investment is complete?</w:t>
                            </w:r>
                          </w:p>
                          <w:p w:rsidR="00F73C3A" w:rsidRDefault="00F73C3A" w:rsidP="0043018E">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CD292" id="Text Box 34" o:spid="_x0000_s1029" type="#_x0000_t202" style="position:absolute;left:0;text-align:left;margin-left:2.4pt;margin-top:312.15pt;width:320.4pt;height:7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0J2JgIAAE0EAAAOAAAAZHJzL2Uyb0RvYy54bWysVNuO0zAQfUfiHyy/06SlLW3UdLV0KUJa&#10;LtIuHzB1nMbC9gTbbbJ8PWOnLdUCL4g8WB7P+HjmnJmsbnqj2VE6r9CWfDzKOZNWYKXsvuRfH7ev&#10;Fpz5ALYCjVaW/El6frN++WLVtYWcYIO6ko4RiPVF15a8CaEtssyLRhrwI2ylJWeNzkAg0+2zykFH&#10;6EZnkzyfZx26qnUopPd0ejc4+Trh17UU4XNdexmYLjnlFtLq0rqLa7ZeQbF30DZKnNKAf8jCgLL0&#10;6AXqDgKwg1O/QRklHHqsw0igybCulZCpBqpmnD+r5qGBVqZaiBzfXmjy/w9WfDp+cUxVJX895cyC&#10;IY0eZR/YW+wZHRE/XesLCntoKTD0dE46p1p9e4/im2cWNw3Yvbx1DrtGQkX5jePN7OrqgOMjyK77&#10;iBW9A4eACaivnYnkER2M0Emnp4s2MRdBh9N8vswX5BLkWyyX43kSL4PifLt1PryXaFjclNyR9gkd&#10;jvc+xGygOIfExzxqVW2V1slw+91GO3YE6pNt+lIBz8K0ZV3Jl7PJbCDgrxB5+v4EYVSghtfKUBWX&#10;ICgibe9sldoxgNLDnlLW9sRjpG4gMfS7fpDsLM8Oqyci1uHQ3zSPtGnQ/eCso94uuf9+ACc50x8s&#10;ibMcT6dxGJIxnb2ZkOGuPbtrD1hBUCUPnA3bTUgDFHmzeEsi1irxG9UeMjmlTD2baD/NVxyKaztF&#10;/foLrH8CAAD//wMAUEsDBBQABgAIAAAAIQBuDn6u4AAAAAkBAAAPAAAAZHJzL2Rvd25yZXYueG1s&#10;TI/BTsMwEETvSPyDtUhcUOvQpm4b4lQICURv0CK4uvE2ibDXwXbT8PeYExxHM5p5U25Ga9iAPnSO&#10;JNxOM2BItdMdNRLe9o+TFbAQFWllHKGEbwywqS4vSlVod6ZXHHaxYamEQqEktDH2BeehbtGqMHU9&#10;UvKOzlsVk/QN116dU7k1fJZlglvVUVpoVY8PLdafu5OVsMqfh4+wnb+81+Jo1vFmOTx9eSmvr8b7&#10;O2ARx/gXhl/8hA5VYjq4E+nAjIQ8gUcJYpbPgSVf5AsB7CBhKRZr4FXJ/z+ofgAAAP//AwBQSwEC&#10;LQAUAAYACAAAACEAtoM4kv4AAADhAQAAEwAAAAAAAAAAAAAAAAAAAAAAW0NvbnRlbnRfVHlwZXNd&#10;LnhtbFBLAQItABQABgAIAAAAIQA4/SH/1gAAAJQBAAALAAAAAAAAAAAAAAAAAC8BAABfcmVscy8u&#10;cmVsc1BLAQItABQABgAIAAAAIQB650J2JgIAAE0EAAAOAAAAAAAAAAAAAAAAAC4CAABkcnMvZTJv&#10;RG9jLnhtbFBLAQItABQABgAIAAAAIQBuDn6u4AAAAAkBAAAPAAAAAAAAAAAAAAAAAIAEAABkcnMv&#10;ZG93bnJldi54bWxQSwUGAAAAAAQABADzAAAAjQUAAAAA&#10;">
                <v:textbox>
                  <w:txbxContent>
                    <w:p w:rsidR="00F73C3A" w:rsidRPr="009A69DE" w:rsidRDefault="00F73C3A" w:rsidP="0043018E">
                      <w:pPr>
                        <w:rPr>
                          <w:rFonts w:ascii="Verdana" w:hAnsi="Verdana" w:cs="Arial"/>
                          <w:color w:val="595959" w:themeColor="text1" w:themeTint="A6"/>
                          <w:sz w:val="22"/>
                        </w:rPr>
                      </w:pPr>
                      <w:r w:rsidRPr="009A69DE">
                        <w:rPr>
                          <w:rFonts w:ascii="Verdana" w:hAnsi="Verdana" w:cs="Arial"/>
                          <w:color w:val="595959" w:themeColor="text1" w:themeTint="A6"/>
                          <w:sz w:val="22"/>
                        </w:rPr>
                        <w:t>Has the beneficiary closed activities under same 4-digit NACE code anywhere in the EEA in the past 2 years or does it have plans to do so before two years after the investment is complete?</w:t>
                      </w:r>
                    </w:p>
                    <w:p w:rsidR="00F73C3A" w:rsidRDefault="00F73C3A" w:rsidP="0043018E">
                      <w:pPr>
                        <w:rPr>
                          <w:sz w:val="22"/>
                        </w:rPr>
                      </w:pPr>
                    </w:p>
                  </w:txbxContent>
                </v:textbox>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65408" behindDoc="0" locked="0" layoutInCell="1" allowOverlap="1" wp14:anchorId="2857D3F6" wp14:editId="4C6B561D">
                <wp:simplePos x="0" y="0"/>
                <wp:positionH relativeFrom="column">
                  <wp:posOffset>7620</wp:posOffset>
                </wp:positionH>
                <wp:positionV relativeFrom="paragraph">
                  <wp:posOffset>5140960</wp:posOffset>
                </wp:positionV>
                <wp:extent cx="556260" cy="365760"/>
                <wp:effectExtent l="0" t="0" r="15240" b="1524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65760"/>
                        </a:xfrm>
                        <a:prstGeom prst="rect">
                          <a:avLst/>
                        </a:prstGeom>
                        <a:solidFill>
                          <a:srgbClr val="FFFFFF"/>
                        </a:solidFill>
                        <a:ln w="9525">
                          <a:solidFill>
                            <a:srgbClr val="000000"/>
                          </a:solidFill>
                          <a:miter lim="800000"/>
                          <a:headEnd/>
                          <a:tailEnd/>
                        </a:ln>
                      </wps:spPr>
                      <wps:txbx>
                        <w:txbxContent>
                          <w:p w:rsidR="00F73C3A" w:rsidRPr="009A69DE" w:rsidRDefault="00F73C3A" w:rsidP="0043018E">
                            <w:pPr>
                              <w:rPr>
                                <w:rFonts w:ascii="Verdana" w:hAnsi="Verdana" w:cs="Arial"/>
                                <w:color w:val="595959" w:themeColor="text1" w:themeTint="A6"/>
                                <w:sz w:val="22"/>
                              </w:rPr>
                            </w:pPr>
                            <w:r w:rsidRPr="009A69DE">
                              <w:rPr>
                                <w:rFonts w:ascii="Verdana" w:hAnsi="Verdana" w:cs="Arial"/>
                                <w:color w:val="595959" w:themeColor="text1" w:themeTint="A6"/>
                                <w:sz w:val="2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7D3F6" id="Text Box 33" o:spid="_x0000_s1030" type="#_x0000_t202" style="position:absolute;left:0;text-align:left;margin-left:.6pt;margin-top:404.8pt;width:43.8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TcqJAIAAEwEAAAOAAAAZHJzL2Uyb0RvYy54bWysVNtu2zAMfR+wfxD0vjj3tkacokuXYUB3&#10;Adp9AC3LsTBJ9CQldvf1peQ0zW4vw/wgkCJ1SB6SXl33RrODdF6hLfhkNOZMWoGVsruCf33Yvrnk&#10;zAewFWi0suCP0vPr9etXq67N5RQb1JV0jECsz7u24E0IbZ5lXjTSgB9hKy0Za3QGAqlul1UOOkI3&#10;OpuOx8usQ1e1DoX0nm5vByNfJ/y6liJ8rmsvA9MFp9xCOl06y3hm6xXkOwdto8QxDfiHLAwoS0FP&#10;ULcQgO2d+g3KKOHQYx1GAk2Gda2ETDVQNZPxL9XcN9DKVAuR49sTTf7/wYpPhy+OqargsxlnFgz1&#10;6EH2gb3FntEV8dO1Pie3+5YcQ0/31OdUq2/vUHzzzOKmAbuTN85h10ioKL9JfJmdPR1wfAQpu49Y&#10;URzYB0xAfe1MJI/oYIROfXo89SbmIuhysVhOl2QRZJotFxckxwiQPz9unQ/vJRoWhYI7an0Ch8Od&#10;D4Prs0uM5VGraqu0TorblRvt2AFoTLbpO6L/5KYt6wp+tZguhvr/CjFO358gjAo071qZgl+enCCP&#10;rL2zFaUJeQClB5mq0/ZIY2Ru4DD0ZZ86No8BIsUlVo/Eq8NhvGkdSWjQ/eCso9EuuP++Byc50x8s&#10;9eZqMp/HXUjKfHExJcWdW8pzC1hBUAUPnA3iJqT9ialavKEe1irx+5LJMWUa2dSh43rFnTjXk9fL&#10;T2D9BAAA//8DAFBLAwQUAAYACAAAACEAmKnmXt0AAAAIAQAADwAAAGRycy9kb3ducmV2LnhtbEyP&#10;wU7DMBBE70j8g7VIXBB1CChNQ5wKIYHgVgqCqxtvkwh7HWw3DX/PcoLTajSj2Tf1enZWTBji4EnB&#10;1SIDgdR6M1Cn4O314bIEEZMmo60nVPCNEdbN6UmtK+OP9ILTNnWCSyhWWkGf0lhJGdsenY4LPyKx&#10;t/fB6cQydNIEfeRyZ2WeZYV0eiD+0OsR73tsP7cHp6C8eZo+4vP15r0t9naVLpbT41dQ6vxsvrsF&#10;kXBOf2H4xWd0aJhp5w9korCscw5yVbYqQLBflrxkx7dY5iCbWv4f0PwAAAD//wMAUEsBAi0AFAAG&#10;AAgAAAAhALaDOJL+AAAA4QEAABMAAAAAAAAAAAAAAAAAAAAAAFtDb250ZW50X1R5cGVzXS54bWxQ&#10;SwECLQAUAAYACAAAACEAOP0h/9YAAACUAQAACwAAAAAAAAAAAAAAAAAvAQAAX3JlbHMvLnJlbHNQ&#10;SwECLQAUAAYACAAAACEAH9E3KiQCAABMBAAADgAAAAAAAAAAAAAAAAAuAgAAZHJzL2Uyb0RvYy54&#10;bWxQSwECLQAUAAYACAAAACEAmKnmXt0AAAAIAQAADwAAAAAAAAAAAAAAAAB+BAAAZHJzL2Rvd25y&#10;ZXYueG1sUEsFBgAAAAAEAAQA8wAAAIgFAAAAAA==&#10;">
                <v:textbox>
                  <w:txbxContent>
                    <w:p w:rsidR="00F73C3A" w:rsidRPr="009A69DE" w:rsidRDefault="00F73C3A" w:rsidP="0043018E">
                      <w:pPr>
                        <w:rPr>
                          <w:rFonts w:ascii="Verdana" w:hAnsi="Verdana" w:cs="Arial"/>
                          <w:color w:val="595959" w:themeColor="text1" w:themeTint="A6"/>
                          <w:sz w:val="22"/>
                        </w:rPr>
                      </w:pPr>
                      <w:r w:rsidRPr="009A69DE">
                        <w:rPr>
                          <w:rFonts w:ascii="Verdana" w:hAnsi="Verdana" w:cs="Arial"/>
                          <w:color w:val="595959" w:themeColor="text1" w:themeTint="A6"/>
                          <w:sz w:val="22"/>
                        </w:rPr>
                        <w:t>No</w:t>
                      </w:r>
                    </w:p>
                  </w:txbxContent>
                </v:textbox>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66432" behindDoc="0" locked="0" layoutInCell="1" allowOverlap="1" wp14:anchorId="4CD376E4" wp14:editId="6784F94B">
                <wp:simplePos x="0" y="0"/>
                <wp:positionH relativeFrom="column">
                  <wp:posOffset>2583180</wp:posOffset>
                </wp:positionH>
                <wp:positionV relativeFrom="paragraph">
                  <wp:posOffset>5208905</wp:posOffset>
                </wp:positionV>
                <wp:extent cx="556260" cy="403860"/>
                <wp:effectExtent l="0" t="0" r="15240" b="152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03860"/>
                        </a:xfrm>
                        <a:prstGeom prst="rect">
                          <a:avLst/>
                        </a:prstGeom>
                        <a:solidFill>
                          <a:srgbClr val="FFFFFF"/>
                        </a:solidFill>
                        <a:ln w="9525">
                          <a:solidFill>
                            <a:srgbClr val="000000"/>
                          </a:solidFill>
                          <a:miter lim="800000"/>
                          <a:headEnd/>
                          <a:tailEnd/>
                        </a:ln>
                      </wps:spPr>
                      <wps:txbx>
                        <w:txbxContent>
                          <w:p w:rsidR="00F73C3A" w:rsidRPr="009A69DE" w:rsidRDefault="00F73C3A" w:rsidP="0043018E">
                            <w:pPr>
                              <w:rPr>
                                <w:rFonts w:ascii="Verdana" w:hAnsi="Verdana" w:cs="Arial"/>
                                <w:color w:val="595959" w:themeColor="text1" w:themeTint="A6"/>
                                <w:sz w:val="22"/>
                              </w:rPr>
                            </w:pPr>
                            <w:r w:rsidRPr="009A69DE">
                              <w:rPr>
                                <w:rFonts w:ascii="Verdana" w:hAnsi="Verdana" w:cs="Arial"/>
                                <w:color w:val="595959" w:themeColor="text1" w:themeTint="A6"/>
                                <w:sz w:val="2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376E4" id="Text Box 32" o:spid="_x0000_s1031" type="#_x0000_t202" style="position:absolute;left:0;text-align:left;margin-left:203.4pt;margin-top:410.15pt;width:43.8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srJQIAAEw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uCEsM0&#10;9uhRDIG8gYHgFfLTW1+i24NFxzDgPfY51ertPfCvnhjYdMzsxK1z0HeCNZjfNL7MLp6OOD6C1P0H&#10;aDAO2wdIQEPrdCQP6SCIjn06nnsTc+F4OZ8vigVaOJpm+dUS5RiBlU+PrfPhnQBNolBRh61P4Oxw&#10;78Po+uQSY3lQstlKpZLidvVGOXJgOCbb9J3Qf3JThvQVvZ4X87H+v0Lk6fsThJYB511JXdHl2YmV&#10;kbW3psE0WRmYVKOM1SlzojEyN3IYhnpIHZvHAJHiGpoj8upgHG9cRxQ6cN8p6XG0K+q/7ZkTlKj3&#10;BntzPZ3N4i4kZTZ/XaDiLi31pYUZjlAVDZSM4iak/YmpGrjFHrYy8fucySllHNnUodN6xZ241JPX&#10;809g/QMAAP//AwBQSwMEFAAGAAgAAAAhAFikgkHgAAAACwEAAA8AAABkcnMvZG93bnJldi54bWxM&#10;j8FOwzAMhu9IvENkJC6IJaxRaUvTCSGB4AYDwTVrsraicUqSdeXtMSc42v71+fvrzeJGNtsQB48K&#10;rlYCmMXWmwE7BW+v95cFsJg0Gj16tAq+bYRNc3pS68r4I77YeZs6RhCMlVbQpzRVnMe2t07HlZ8s&#10;0m3vg9OJxtBxE/SR4G7kayFy7vSA9KHXk73rbfu5PTgFhXycP+JT9vze5vuxTBfX88NXUOr8bLm9&#10;AZbskv7C8KtP6tCQ084f0EQ2KpAiJ/VEsLXIgFFCllIC29GmyErgTc3/d2h+AAAA//8DAFBLAQIt&#10;ABQABgAIAAAAIQC2gziS/gAAAOEBAAATAAAAAAAAAAAAAAAAAAAAAABbQ29udGVudF9UeXBlc10u&#10;eG1sUEsBAi0AFAAGAAgAAAAhADj9If/WAAAAlAEAAAsAAAAAAAAAAAAAAAAALwEAAF9yZWxzLy5y&#10;ZWxzUEsBAi0AFAAGAAgAAAAhAIXzeyslAgAATAQAAA4AAAAAAAAAAAAAAAAALgIAAGRycy9lMm9E&#10;b2MueG1sUEsBAi0AFAAGAAgAAAAhAFikgkHgAAAACwEAAA8AAAAAAAAAAAAAAAAAfwQAAGRycy9k&#10;b3ducmV2LnhtbFBLBQYAAAAABAAEAPMAAACMBQAAAAA=&#10;">
                <v:textbox>
                  <w:txbxContent>
                    <w:p w:rsidR="00F73C3A" w:rsidRPr="009A69DE" w:rsidRDefault="00F73C3A" w:rsidP="0043018E">
                      <w:pPr>
                        <w:rPr>
                          <w:rFonts w:ascii="Verdana" w:hAnsi="Verdana" w:cs="Arial"/>
                          <w:color w:val="595959" w:themeColor="text1" w:themeTint="A6"/>
                          <w:sz w:val="22"/>
                        </w:rPr>
                      </w:pPr>
                      <w:r w:rsidRPr="009A69DE">
                        <w:rPr>
                          <w:rFonts w:ascii="Verdana" w:hAnsi="Verdana" w:cs="Arial"/>
                          <w:color w:val="595959" w:themeColor="text1" w:themeTint="A6"/>
                          <w:sz w:val="22"/>
                        </w:rPr>
                        <w:t>Yes</w:t>
                      </w:r>
                    </w:p>
                  </w:txbxContent>
                </v:textbox>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68480" behindDoc="0" locked="0" layoutInCell="1" allowOverlap="1" wp14:anchorId="735CA4BC" wp14:editId="4428AF1E">
                <wp:simplePos x="0" y="0"/>
                <wp:positionH relativeFrom="column">
                  <wp:posOffset>7620</wp:posOffset>
                </wp:positionH>
                <wp:positionV relativeFrom="paragraph">
                  <wp:posOffset>6875145</wp:posOffset>
                </wp:positionV>
                <wp:extent cx="556260" cy="403860"/>
                <wp:effectExtent l="0" t="0" r="15240" b="152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03860"/>
                        </a:xfrm>
                        <a:prstGeom prst="rect">
                          <a:avLst/>
                        </a:prstGeom>
                        <a:solidFill>
                          <a:srgbClr val="FFFFFF"/>
                        </a:solidFill>
                        <a:ln w="9525">
                          <a:solidFill>
                            <a:srgbClr val="000000"/>
                          </a:solidFill>
                          <a:miter lim="800000"/>
                          <a:headEnd/>
                          <a:tailEnd/>
                        </a:ln>
                      </wps:spPr>
                      <wps:txbx>
                        <w:txbxContent>
                          <w:p w:rsidR="00F73C3A" w:rsidRPr="009A69DE" w:rsidRDefault="00F73C3A" w:rsidP="0043018E">
                            <w:pPr>
                              <w:rPr>
                                <w:rFonts w:ascii="Verdana" w:hAnsi="Verdana" w:cs="Arial"/>
                                <w:color w:val="595959" w:themeColor="text1" w:themeTint="A6"/>
                                <w:sz w:val="22"/>
                              </w:rPr>
                            </w:pPr>
                            <w:r w:rsidRPr="009A69DE">
                              <w:rPr>
                                <w:rFonts w:ascii="Verdana" w:hAnsi="Verdana" w:cs="Arial"/>
                                <w:color w:val="595959" w:themeColor="text1" w:themeTint="A6"/>
                                <w:sz w:val="2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CA4BC" id="Text Box 30" o:spid="_x0000_s1032" type="#_x0000_t202" style="position:absolute;left:0;text-align:left;margin-left:.6pt;margin-top:541.35pt;width:43.8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DVJQIAAEwEAAAOAAAAZHJzL2Uyb0RvYy54bWysVNtu2zAMfR+wfxD0vjhJkyw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NVwa+IHguG&#10;evQo+8DeYM/oivjpWp+T20NLjqGne+pzqtW39yi+emZx04DdyVvnsGskVJTfJL7MLp4OOD6ClN0H&#10;rCgO7AMmoL52JpJHdDBCp0SO597EXARdzueL6YIsgkyz8dWS5BgB8qfHrfPhnUTDolBwR61P4HC4&#10;92FwfXKJsTxqVW2V1klxu3KjHTsAjck2fSf0n9y0ZV3Br+fT+VD/XyHG6fsThFGB5l0rU/Dl2Qny&#10;yNpbW1GakAdQepCpOm1PNEbmBg5DX/apY4sYIFJcYnUkXh0O403rSEKD7jtnHY12wf23PTjJmX5v&#10;qTfXk9ks7kJSZvPXU1LcpaW8tIAVBFXwwNkgbkLan5iqxVvqYa0Sv8+ZnFKmkU0dOq1X3IlLPXk9&#10;/wTWPwAAAP//AwBQSwMEFAAGAAgAAAAhAAWt4kDgAAAACgEAAA8AAABkcnMvZG93bnJldi54bWxM&#10;j81OwzAQhO9IvIO1SFwQdZpWqQlxKoQEglspVbm68TaJ8E+w3TS8PcsJTqvZHc1+U60na9iIIfbe&#10;SZjPMmDoGq9710rYvT/dCmAxKaeV8Q4lfGOEdX15UalS+7N7w3GbWkYhLpZKQpfSUHIemw6tijM/&#10;oKPb0QerEsnQch3UmcKt4XmWFdyq3tGHTg342GHzuT1ZCWL5Mn7E18Vm3xRHc5duVuPzV5Dy+mp6&#10;uAeWcEp/ZvjFJ3SoiengT05HZkjnZKSRiXwFjAxCUJUDbebLYgG8rvj/CvUPAAAA//8DAFBLAQIt&#10;ABQABgAIAAAAIQC2gziS/gAAAOEBAAATAAAAAAAAAAAAAAAAAAAAAABbQ29udGVudF9UeXBlc10u&#10;eG1sUEsBAi0AFAAGAAgAAAAhADj9If/WAAAAlAEAAAsAAAAAAAAAAAAAAAAALwEAAF9yZWxzLy5y&#10;ZWxzUEsBAi0AFAAGAAgAAAAhAIoyINUlAgAATAQAAA4AAAAAAAAAAAAAAAAALgIAAGRycy9lMm9E&#10;b2MueG1sUEsBAi0AFAAGAAgAAAAhAAWt4kDgAAAACgEAAA8AAAAAAAAAAAAAAAAAfwQAAGRycy9k&#10;b3ducmV2LnhtbFBLBQYAAAAABAAEAPMAAACMBQAAAAA=&#10;">
                <v:textbox>
                  <w:txbxContent>
                    <w:p w:rsidR="00F73C3A" w:rsidRPr="009A69DE" w:rsidRDefault="00F73C3A" w:rsidP="0043018E">
                      <w:pPr>
                        <w:rPr>
                          <w:rFonts w:ascii="Verdana" w:hAnsi="Verdana" w:cs="Arial"/>
                          <w:color w:val="595959" w:themeColor="text1" w:themeTint="A6"/>
                          <w:sz w:val="22"/>
                        </w:rPr>
                      </w:pPr>
                      <w:r w:rsidRPr="009A69DE">
                        <w:rPr>
                          <w:rFonts w:ascii="Verdana" w:hAnsi="Verdana" w:cs="Arial"/>
                          <w:color w:val="595959" w:themeColor="text1" w:themeTint="A6"/>
                          <w:sz w:val="22"/>
                        </w:rPr>
                        <w:t>No</w:t>
                      </w:r>
                    </w:p>
                  </w:txbxContent>
                </v:textbox>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69504" behindDoc="0" locked="0" layoutInCell="1" allowOverlap="1" wp14:anchorId="67D2DE40" wp14:editId="1FA51A9D">
                <wp:simplePos x="0" y="0"/>
                <wp:positionH relativeFrom="column">
                  <wp:posOffset>-15240</wp:posOffset>
                </wp:positionH>
                <wp:positionV relativeFrom="paragraph">
                  <wp:posOffset>7675245</wp:posOffset>
                </wp:positionV>
                <wp:extent cx="1676400" cy="525780"/>
                <wp:effectExtent l="0" t="0" r="1905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25780"/>
                        </a:xfrm>
                        <a:prstGeom prst="rect">
                          <a:avLst/>
                        </a:prstGeom>
                        <a:solidFill>
                          <a:srgbClr val="FFFFFF"/>
                        </a:solidFill>
                        <a:ln w="9525">
                          <a:solidFill>
                            <a:srgbClr val="000000"/>
                          </a:solidFill>
                          <a:miter lim="800000"/>
                          <a:headEnd/>
                          <a:tailEnd/>
                        </a:ln>
                      </wps:spPr>
                      <wps:txbx>
                        <w:txbxContent>
                          <w:p w:rsidR="00F73C3A" w:rsidRPr="009A69DE" w:rsidRDefault="00F73C3A" w:rsidP="0043018E">
                            <w:pPr>
                              <w:rPr>
                                <w:rFonts w:ascii="Verdana" w:hAnsi="Verdana" w:cs="Arial"/>
                                <w:b/>
                                <w:color w:val="595959" w:themeColor="text1" w:themeTint="A6"/>
                                <w:sz w:val="22"/>
                              </w:rPr>
                            </w:pPr>
                            <w:r w:rsidRPr="009A69DE">
                              <w:rPr>
                                <w:rFonts w:ascii="Verdana" w:hAnsi="Verdana" w:cs="Arial"/>
                                <w:b/>
                                <w:color w:val="595959" w:themeColor="text1" w:themeTint="A6"/>
                                <w:sz w:val="22"/>
                              </w:rPr>
                              <w:t>Aid is permitted under GBER</w:t>
                            </w:r>
                          </w:p>
                          <w:p w:rsidR="00F73C3A" w:rsidRDefault="00F73C3A" w:rsidP="0043018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2DE40" id="Text Box 8" o:spid="_x0000_s1033" type="#_x0000_t202" style="position:absolute;left:0;text-align:left;margin-left:-1.2pt;margin-top:604.35pt;width:132pt;height:4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hmIwIAAEsEAAAOAAAAZHJzL2Uyb0RvYy54bWysVNtu2zAMfR+wfxD0vtgJcqtRp+jSZRjQ&#10;XYB2H8DIcixMEj1JiZ19/Sg5yYJuexnmB0ESqUPyHNK3d73R7CCdV2hLPh7lnEkrsFJ2V/Kvz5s3&#10;S858AFuBRitLfpSe361ev7rt2kJOsEFdSccIxPqia0vehNAWWeZFIw34EbbSkrFGZyDQ0e2yykFH&#10;6EZnkzyfZx26qnUopPd0+zAY+Srh17UU4XNdexmYLjnlFtLq0rqNa7a6hWLnoG2UOKUB/5CFAWUp&#10;6AXqAQKwvVO/QRklHHqsw0igybCulZCpBqpmnL+o5qmBVqZaiBzfXmjy/w9WfDp8cUxVJSehLBiS&#10;6Fn2gb3Fni0jO13rC3J6askt9HRNKqdKffuI4ptnFtcN2J28dw67RkJF2Y3jy+zq6YDjI8i2+4gV&#10;hYF9wATU185E6ogMRuik0vGiTExFxJDzxXyak0mQbTaZLZZJugyK8+vW+fBeomFxU3JHyid0ODz6&#10;ELOB4uwSg3nUqtoordPB7bZr7dgBqEs26UsFvHDTlnUlv6HwAwF/hcjT9ycIowK1u1aG+L44QRFp&#10;e2er1IwBlB72lLK2Jx4jdQOJod/2SbDFWZ4tVkci1uHQ3TSNtGnQ/eCso84uuf++Byc50x8siXMz&#10;nk7jKKTDdLaY0MFdW7bXFrCCoEoeOBu265DGJ/Jm8Z5ErFXiN6o9ZHJKmTo20X6arjgS1+fk9esf&#10;sPoJAAD//wMAUEsDBBQABgAIAAAAIQB3Em494QAAAAwBAAAPAAAAZHJzL2Rvd25yZXYueG1sTI/B&#10;TsMwDIbvSLxDZCQuaEtbRteVphNCAsENxjSuWeO1FYlTkqwrb092gqN/f/r9uVpPRrMRne8tCUjn&#10;CTCkxqqeWgHbj6dZAcwHSUpqSyjgBz2s68uLSpbKnugdx01oWSwhX0oBXQhDyblvOjTSz+2AFHcH&#10;64wMcXQtV06eYrnRPEuSnBvZU7zQyQEfO2y+NkcjoFi8jJ/+9fZt1+QHvQo3y/H52wlxfTU93AML&#10;OIU/GM76UR3q6LS3R1KeaQGzbBHJmGdJsQQWiSxPc2D7c7RK74DXFf//RP0LAAD//wMAUEsBAi0A&#10;FAAGAAgAAAAhALaDOJL+AAAA4QEAABMAAAAAAAAAAAAAAAAAAAAAAFtDb250ZW50X1R5cGVzXS54&#10;bWxQSwECLQAUAAYACAAAACEAOP0h/9YAAACUAQAACwAAAAAAAAAAAAAAAAAvAQAAX3JlbHMvLnJl&#10;bHNQSwECLQAUAAYACAAAACEAGj1IZiMCAABLBAAADgAAAAAAAAAAAAAAAAAuAgAAZHJzL2Uyb0Rv&#10;Yy54bWxQSwECLQAUAAYACAAAACEAdxJuPeEAAAAMAQAADwAAAAAAAAAAAAAAAAB9BAAAZHJzL2Rv&#10;d25yZXYueG1sUEsFBgAAAAAEAAQA8wAAAIsFAAAAAA==&#10;">
                <v:textbox>
                  <w:txbxContent>
                    <w:p w:rsidR="00F73C3A" w:rsidRPr="009A69DE" w:rsidRDefault="00F73C3A" w:rsidP="0043018E">
                      <w:pPr>
                        <w:rPr>
                          <w:rFonts w:ascii="Verdana" w:hAnsi="Verdana" w:cs="Arial"/>
                          <w:b/>
                          <w:color w:val="595959" w:themeColor="text1" w:themeTint="A6"/>
                          <w:sz w:val="22"/>
                        </w:rPr>
                      </w:pPr>
                      <w:r w:rsidRPr="009A69DE">
                        <w:rPr>
                          <w:rFonts w:ascii="Verdana" w:hAnsi="Verdana" w:cs="Arial"/>
                          <w:b/>
                          <w:color w:val="595959" w:themeColor="text1" w:themeTint="A6"/>
                          <w:sz w:val="22"/>
                        </w:rPr>
                        <w:t>Aid is permitted under GBER</w:t>
                      </w:r>
                    </w:p>
                    <w:p w:rsidR="00F73C3A" w:rsidRDefault="00F73C3A" w:rsidP="0043018E">
                      <w:pPr>
                        <w:rPr>
                          <w:rFonts w:ascii="Arial" w:hAnsi="Arial" w:cs="Arial"/>
                          <w:sz w:val="24"/>
                          <w:szCs w:val="24"/>
                        </w:rPr>
                      </w:pPr>
                    </w:p>
                  </w:txbxContent>
                </v:textbox>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70528" behindDoc="0" locked="0" layoutInCell="1" allowOverlap="1" wp14:anchorId="1BFAB8F4" wp14:editId="7C9619CA">
                <wp:simplePos x="0" y="0"/>
                <wp:positionH relativeFrom="column">
                  <wp:posOffset>1409700</wp:posOffset>
                </wp:positionH>
                <wp:positionV relativeFrom="paragraph">
                  <wp:posOffset>2060575</wp:posOffset>
                </wp:positionV>
                <wp:extent cx="4015740" cy="693420"/>
                <wp:effectExtent l="0" t="0" r="2286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693420"/>
                        </a:xfrm>
                        <a:prstGeom prst="rect">
                          <a:avLst/>
                        </a:prstGeom>
                        <a:solidFill>
                          <a:srgbClr val="FFFFFF"/>
                        </a:solidFill>
                        <a:ln w="9525">
                          <a:solidFill>
                            <a:srgbClr val="000000"/>
                          </a:solidFill>
                          <a:miter lim="800000"/>
                          <a:headEnd/>
                          <a:tailEnd/>
                        </a:ln>
                      </wps:spPr>
                      <wps:txbx>
                        <w:txbxContent>
                          <w:p w:rsidR="00F73C3A" w:rsidRPr="009A69DE" w:rsidRDefault="00F73C3A" w:rsidP="0043018E">
                            <w:pPr>
                              <w:rPr>
                                <w:rFonts w:ascii="Verdana" w:hAnsi="Verdana"/>
                                <w:color w:val="595959" w:themeColor="text1" w:themeTint="A6"/>
                                <w:sz w:val="22"/>
                              </w:rPr>
                            </w:pPr>
                            <w:r w:rsidRPr="009A69DE">
                              <w:rPr>
                                <w:rFonts w:ascii="Verdana" w:hAnsi="Verdana" w:cs="Arial"/>
                                <w:color w:val="595959" w:themeColor="text1" w:themeTint="A6"/>
                                <w:sz w:val="22"/>
                              </w:rPr>
                              <w:t>Does the investment relate to an activity (at 4-digit NACE code level) which is not carried out by the company in that assisted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AB8F4" id="Text Box 9" o:spid="_x0000_s1034" type="#_x0000_t202" style="position:absolute;left:0;text-align:left;margin-left:111pt;margin-top:162.25pt;width:316.2pt;height:5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ShJgIAAEsEAAAOAAAAZHJzL2Uyb0RvYy54bWysVNuO2yAQfa/Uf0C8N3bSZDex4qy22aaq&#10;tL1Iu/2ACcYxKjAukNjbr98BJ2m0bV+q+gEBMxzOnDN4edMbzQ7SeYW25ONRzpm0AitldyX/9rh5&#10;M+fMB7AVaLSy5E/S85vV61fLri3kBBvUlXSMQKwvurbkTQhtkWVeNNKAH2ErLQVrdAYCLd0uqxx0&#10;hG50Nsnzq6xDV7UOhfSedu+GIF8l/LqWInypay8D0yUnbiGNLo3bOGarJRQ7B22jxJEG/AMLA8rS&#10;pWeoOwjA9k79BmWUcOixDiOBJsO6VkKmGqiacf6imocGWplqIXF8e5bJ/z9Y8fnw1TFVlXzBmQVD&#10;Fj3KPrB32LNFVKdrfUFJDy2lhZ62yeVUqW/vUXz3zOK6AbuTt85h10ioiN04nswujg44PoJsu09Y&#10;0TWwD5iA+tqZKB2JwQidXHo6OxOpCNqc5uPZ9ZRCgmJXi7fTSbIug+J0unU+fJBoWJyU3JHzCR0O&#10;9z5ENlCcUuJlHrWqNkrrtHC77Vo7dgDqkk36UgEv0rRlHek0m8wGAf4KkafvTxBGBWp3rUzJ5+ck&#10;KKJs722VmjGA0sOcKGt71DFKN4gY+m2fDJuf7Nli9UTCOhy6m14jTRp0PznrqLNL7n/swUnO9EdL&#10;5izG06hkSIvp7JqkZO4ysr2MgBUEVfLA2TBdh/R8om4Wb8nEWiV9o9sDkyNl6tgk+/F1xSdxuU5Z&#10;v/4Bq2cAAAD//wMAUEsDBBQABgAIAAAAIQDVhXOM4QAAAAsBAAAPAAAAZHJzL2Rvd25yZXYueG1s&#10;TI/NTsMwEITvSLyDtUhcEHVI3DaEbCqEBIIbFARXN94mEf4JtpuGt8ec4Dia0cw39WY2mk3kw+As&#10;wtUiA0a2dWqwHcLb6/1lCSxEaZXUzhLCNwXYNKcntayUO9oXmraxY6nEhkoi9DGOFeeh7cnIsHAj&#10;2eTtnTcyJuk7rrw8pnKjeZ5lK27kYNNCL0e666n93B4MQikep4/wVDy/t6u9vo4X6+nhyyOen823&#10;N8AizfEvDL/4CR2axLRzB6sC0wh5nqcvEaHIxRJYSpRLIYDtEERRrIE3Nf//ofkBAAD//wMAUEsB&#10;Ai0AFAAGAAgAAAAhALaDOJL+AAAA4QEAABMAAAAAAAAAAAAAAAAAAAAAAFtDb250ZW50X1R5cGVz&#10;XS54bWxQSwECLQAUAAYACAAAACEAOP0h/9YAAACUAQAACwAAAAAAAAAAAAAAAAAvAQAAX3JlbHMv&#10;LnJlbHNQSwECLQAUAAYACAAAACEA7waEoSYCAABLBAAADgAAAAAAAAAAAAAAAAAuAgAAZHJzL2Uy&#10;b0RvYy54bWxQSwECLQAUAAYACAAAACEA1YVzjOEAAAALAQAADwAAAAAAAAAAAAAAAACABAAAZHJz&#10;L2Rvd25yZXYueG1sUEsFBgAAAAAEAAQA8wAAAI4FAAAAAA==&#10;">
                <v:textbox>
                  <w:txbxContent>
                    <w:p w:rsidR="00F73C3A" w:rsidRPr="009A69DE" w:rsidRDefault="00F73C3A" w:rsidP="0043018E">
                      <w:pPr>
                        <w:rPr>
                          <w:rFonts w:ascii="Verdana" w:hAnsi="Verdana"/>
                          <w:color w:val="595959" w:themeColor="text1" w:themeTint="A6"/>
                          <w:sz w:val="22"/>
                        </w:rPr>
                      </w:pPr>
                      <w:r w:rsidRPr="009A69DE">
                        <w:rPr>
                          <w:rFonts w:ascii="Verdana" w:hAnsi="Verdana" w:cs="Arial"/>
                          <w:color w:val="595959" w:themeColor="text1" w:themeTint="A6"/>
                          <w:sz w:val="22"/>
                        </w:rPr>
                        <w:t>Does the investment relate to an activity (at 4-digit NACE code level) which is not carried out by the company in that assisted area?</w:t>
                      </w:r>
                    </w:p>
                  </w:txbxContent>
                </v:textbox>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71552" behindDoc="0" locked="0" layoutInCell="1" allowOverlap="1" wp14:anchorId="25686095" wp14:editId="304DF3E5">
                <wp:simplePos x="0" y="0"/>
                <wp:positionH relativeFrom="column">
                  <wp:posOffset>4869180</wp:posOffset>
                </wp:positionH>
                <wp:positionV relativeFrom="paragraph">
                  <wp:posOffset>3179445</wp:posOffset>
                </wp:positionV>
                <wp:extent cx="556260" cy="403860"/>
                <wp:effectExtent l="0" t="0" r="1524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03860"/>
                        </a:xfrm>
                        <a:prstGeom prst="rect">
                          <a:avLst/>
                        </a:prstGeom>
                        <a:solidFill>
                          <a:srgbClr val="FFFFFF"/>
                        </a:solidFill>
                        <a:ln w="9525">
                          <a:solidFill>
                            <a:srgbClr val="000000"/>
                          </a:solidFill>
                          <a:miter lim="800000"/>
                          <a:headEnd/>
                          <a:tailEnd/>
                        </a:ln>
                      </wps:spPr>
                      <wps:txbx>
                        <w:txbxContent>
                          <w:p w:rsidR="00F73C3A" w:rsidRPr="009A69DE" w:rsidRDefault="00F73C3A" w:rsidP="0043018E">
                            <w:pPr>
                              <w:rPr>
                                <w:rFonts w:ascii="Verdana" w:hAnsi="Verdana" w:cs="Arial"/>
                                <w:color w:val="595959" w:themeColor="text1" w:themeTint="A6"/>
                                <w:sz w:val="22"/>
                              </w:rPr>
                            </w:pPr>
                            <w:r w:rsidRPr="009A69DE">
                              <w:rPr>
                                <w:rFonts w:ascii="Verdana" w:hAnsi="Verdana" w:cs="Arial"/>
                                <w:color w:val="595959" w:themeColor="text1" w:themeTint="A6"/>
                                <w:sz w:val="2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86095" id="Text Box 10" o:spid="_x0000_s1035" type="#_x0000_t202" style="position:absolute;left:0;text-align:left;margin-left:383.4pt;margin-top:250.35pt;width:43.8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aNJAIAAEwEAAAOAAAAZHJzL2Uyb0RvYy54bWysVNtu2zAMfR+wfxD0vtjJkiwx4hRdugwD&#10;ugvQ7gMYWY6FSaInKbG7ry8lp2l2exnmB4EUqUPykPTqqjeaHaXzCm3Jx6OcM2kFVsruS/71fvtq&#10;wZkPYCvQaGXJH6TnV+uXL1ZdW8gJNqgr6RiBWF90bcmbENoiy7xopAE/wlZaMtboDARS3T6rHHSE&#10;bnQ2yfN51qGrWodCek+3N4ORrxN+XUsRPte1l4HpklNuIZ0unbt4ZusVFHsHbaPEKQ34hywMKEtB&#10;z1A3EIAdnPoNyijh0GMdRgJNhnWthEw1UDXj/Jdq7hpoZaqFyPHtmSb//2DFp+MXx1RFvSN6LBjq&#10;0b3sA3uLPaMr4qdrfUFudy05hp7uyTfV6ttbFN88s7hpwO7ltXPYNRIqym8cX2YXTwccH0F23Ues&#10;KA4cAiagvnYmkkd0MEKnRB7OvYm5CLqczeaTOVkEmab56wXJMQIUT49b58N7iYZFoeSOWp/A4Xjr&#10;w+D65BJjedSq2iqtk+L2u4127Ag0Jtv0ndB/ctOWdSVfziazof6/QuTp+xOEUYHmXStT8sXZCYrI&#10;2jtbUZpQBFB6kKk6bU80RuYGDkO/61PHljFApHiH1QPx6nAYb1pHEhp0PzjraLRL7r8fwEnO9AdL&#10;vVmOp9O4C0mZzt5MSHGXlt2lBawgqJIHzgZxE9L+xFQtXlMPa5X4fc7klDKNbOrQab3iTlzqyev5&#10;J7B+BAAA//8DAFBLAwQUAAYACAAAACEAFL9JSOEAAAALAQAADwAAAGRycy9kb3ducmV2LnhtbEyP&#10;wU7DMBBE70j8g7VIXBC1oakTQpwKIYHoDQqCqxtvk4h4HWw3DX+POcFxZ0czb6r1bAc2oQ+9IwVX&#10;CwEMqXGmp1bB2+vDZQEsRE1GD45QwTcGWNenJ5UujTvSC07b2LIUQqHUCroYx5Lz0HRodVi4ESn9&#10;9s5bHdPpW268PqZwO/BrISS3uqfU0OkR7ztsPrcHq6DInqaPsFk+vzdyP9zEi3x6/PJKnZ/Nd7fA&#10;Is7xzwy/+Akd6sS0cwcygQ0KcikTelSwEiIHlhzFKsuA7ZIisyXwuuL/N9Q/AAAA//8DAFBLAQIt&#10;ABQABgAIAAAAIQC2gziS/gAAAOEBAAATAAAAAAAAAAAAAAAAAAAAAABbQ29udGVudF9UeXBlc10u&#10;eG1sUEsBAi0AFAAGAAgAAAAhADj9If/WAAAAlAEAAAsAAAAAAAAAAAAAAAAALwEAAF9yZWxzLy5y&#10;ZWxzUEsBAi0AFAAGAAgAAAAhAGK5No0kAgAATAQAAA4AAAAAAAAAAAAAAAAALgIAAGRycy9lMm9E&#10;b2MueG1sUEsBAi0AFAAGAAgAAAAhABS/SUjhAAAACwEAAA8AAAAAAAAAAAAAAAAAfgQAAGRycy9k&#10;b3ducmV2LnhtbFBLBQYAAAAABAAEAPMAAACMBQAAAAA=&#10;">
                <v:textbox>
                  <w:txbxContent>
                    <w:p w:rsidR="00F73C3A" w:rsidRPr="009A69DE" w:rsidRDefault="00F73C3A" w:rsidP="0043018E">
                      <w:pPr>
                        <w:rPr>
                          <w:rFonts w:ascii="Verdana" w:hAnsi="Verdana" w:cs="Arial"/>
                          <w:color w:val="595959" w:themeColor="text1" w:themeTint="A6"/>
                          <w:sz w:val="22"/>
                        </w:rPr>
                      </w:pPr>
                      <w:r w:rsidRPr="009A69DE">
                        <w:rPr>
                          <w:rFonts w:ascii="Verdana" w:hAnsi="Verdana" w:cs="Arial"/>
                          <w:color w:val="595959" w:themeColor="text1" w:themeTint="A6"/>
                          <w:sz w:val="22"/>
                        </w:rPr>
                        <w:t>No</w:t>
                      </w:r>
                    </w:p>
                  </w:txbxContent>
                </v:textbox>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72576" behindDoc="0" locked="0" layoutInCell="1" allowOverlap="1" wp14:anchorId="399261C6" wp14:editId="3FBDAAA4">
                <wp:simplePos x="0" y="0"/>
                <wp:positionH relativeFrom="column">
                  <wp:posOffset>2583180</wp:posOffset>
                </wp:positionH>
                <wp:positionV relativeFrom="paragraph">
                  <wp:posOffset>3179445</wp:posOffset>
                </wp:positionV>
                <wp:extent cx="556260" cy="4038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03860"/>
                        </a:xfrm>
                        <a:prstGeom prst="rect">
                          <a:avLst/>
                        </a:prstGeom>
                        <a:solidFill>
                          <a:srgbClr val="FFFFFF"/>
                        </a:solidFill>
                        <a:ln w="9525">
                          <a:solidFill>
                            <a:srgbClr val="000000"/>
                          </a:solidFill>
                          <a:miter lim="800000"/>
                          <a:headEnd/>
                          <a:tailEnd/>
                        </a:ln>
                      </wps:spPr>
                      <wps:txbx>
                        <w:txbxContent>
                          <w:p w:rsidR="00F73C3A" w:rsidRPr="009A69DE" w:rsidRDefault="00F73C3A" w:rsidP="0043018E">
                            <w:pPr>
                              <w:rPr>
                                <w:rFonts w:ascii="Verdana" w:hAnsi="Verdana" w:cs="Arial"/>
                                <w:color w:val="595959" w:themeColor="text1" w:themeTint="A6"/>
                                <w:sz w:val="22"/>
                              </w:rPr>
                            </w:pPr>
                            <w:r w:rsidRPr="009A69DE">
                              <w:rPr>
                                <w:rFonts w:ascii="Verdana" w:hAnsi="Verdana" w:cs="Arial"/>
                                <w:color w:val="595959" w:themeColor="text1" w:themeTint="A6"/>
                                <w:sz w:val="2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261C6" id="Text Box 11" o:spid="_x0000_s1036" type="#_x0000_t202" style="position:absolute;left:0;text-align:left;margin-left:203.4pt;margin-top:250.35pt;width:43.8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xKmIwIAAE0EAAAOAAAAZHJzL2Uyb0RvYy54bWysVNtu2zAMfR+wfxD0vtjxkiw14hRdugwD&#10;ugvQ7gNkWY6FSaImKbGzry8lp2l2exnmB4E3HZGHpFfXg1bkIJyXYCo6neSUCMOhkWZX0a8P21dL&#10;SnxgpmEKjKjoUXh6vX75YtXbUhTQgWqEIwhifNnbinYh2DLLPO+EZn4CVhh0tuA0C6i6XdY41iO6&#10;VlmR54usB9dYB1x4j9bb0UnXCb9tBQ+f29aLQFRFMbeQTpfOOp7ZesXKnWO2k/yUBvuHLDSTBh89&#10;Q92ywMjeyd+gtOQOPLRhwkFn0LaSi1QDVjPNf6nmvmNWpFqQHG/PNPn/B8s/Hb44Ihvs3ZQSwzT2&#10;6EEMgbyFgaAJ+emtLzHs3mJgGNCOsalWb++Af/PEwKZjZidunIO+E6zB/NLN7OLqiOMjSN1/hAbf&#10;YfsACWhonY7kIR0E0bFPx3NvYi4cjfP5oligh6Nrlr9eooy5Zax8umydD+8FaBKFijpsfQJnhzsf&#10;xtCnkPiWByWbrVQqKW5Xb5QjB4Zjsk3fCf2nMGVIX9GreTEf6/8rRJ6+P0FoGXDeldQVXZ6DWBlZ&#10;e2eaNI2BSTXKWJ0yWGSkMTI3chiGehg7liiIzhqaIxLrYJxv3EcUOnA/KOlxtivqv++ZE5SoDwab&#10;czWdzeIyJGU2f1Og4i499aWHGY5QFQ2UjOImpAWKxBm4wSa2MhH8nMkpZ5zZ1KLTfsWluNRT1PNf&#10;YP0IAAD//wMAUEsDBBQABgAIAAAAIQBF1SEK4AAAAAsBAAAPAAAAZHJzL2Rvd25yZXYueG1sTI/N&#10;TsMwEITvSLyDtUhcELWhJm1DnAohgegNCoKrG2+TCP8E203D27Oc4Lizo5lvqvXkLBsxpj54BVcz&#10;AQx9E0zvWwVvrw+XS2Apa2+0DR4VfGOCdX16UunShKN/wXGbW0YhPpVaQZfzUHKemg6dTrMwoKff&#10;PkSnM52x5SbqI4U7y6+FKLjTvaeGTg9432HzuT04BUv5NH6kzfz5vSn2dpUvFuPjV1Tq/Gy6uwWW&#10;ccp/ZvjFJ3SoiWkXDt4kZhVIURB6VnAjxAIYOeRKSmA7Ugo5B15X/P+G+gcAAP//AwBQSwECLQAU&#10;AAYACAAAACEAtoM4kv4AAADhAQAAEwAAAAAAAAAAAAAAAAAAAAAAW0NvbnRlbnRfVHlwZXNdLnht&#10;bFBLAQItABQABgAIAAAAIQA4/SH/1gAAAJQBAAALAAAAAAAAAAAAAAAAAC8BAABfcmVscy8ucmVs&#10;c1BLAQItABQABgAIAAAAIQA1nxKmIwIAAE0EAAAOAAAAAAAAAAAAAAAAAC4CAABkcnMvZTJvRG9j&#10;LnhtbFBLAQItABQABgAIAAAAIQBF1SEK4AAAAAsBAAAPAAAAAAAAAAAAAAAAAH0EAABkcnMvZG93&#10;bnJldi54bWxQSwUGAAAAAAQABADzAAAAigUAAAAA&#10;">
                <v:textbox>
                  <w:txbxContent>
                    <w:p w:rsidR="00F73C3A" w:rsidRPr="009A69DE" w:rsidRDefault="00F73C3A" w:rsidP="0043018E">
                      <w:pPr>
                        <w:rPr>
                          <w:rFonts w:ascii="Verdana" w:hAnsi="Verdana" w:cs="Arial"/>
                          <w:color w:val="595959" w:themeColor="text1" w:themeTint="A6"/>
                          <w:sz w:val="22"/>
                        </w:rPr>
                      </w:pPr>
                      <w:r w:rsidRPr="009A69DE">
                        <w:rPr>
                          <w:rFonts w:ascii="Verdana" w:hAnsi="Verdana" w:cs="Arial"/>
                          <w:color w:val="595959" w:themeColor="text1" w:themeTint="A6"/>
                          <w:sz w:val="22"/>
                        </w:rPr>
                        <w:t>Yes</w:t>
                      </w:r>
                    </w:p>
                  </w:txbxContent>
                </v:textbox>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74624" behindDoc="0" locked="0" layoutInCell="1" allowOverlap="1" wp14:anchorId="6A483AE1" wp14:editId="7007B9C1">
                <wp:simplePos x="0" y="0"/>
                <wp:positionH relativeFrom="column">
                  <wp:posOffset>1699260</wp:posOffset>
                </wp:positionH>
                <wp:positionV relativeFrom="paragraph">
                  <wp:posOffset>6877685</wp:posOffset>
                </wp:positionV>
                <wp:extent cx="556260" cy="403860"/>
                <wp:effectExtent l="0" t="0" r="1524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03860"/>
                        </a:xfrm>
                        <a:prstGeom prst="rect">
                          <a:avLst/>
                        </a:prstGeom>
                        <a:solidFill>
                          <a:srgbClr val="FFFFFF"/>
                        </a:solidFill>
                        <a:ln w="9525">
                          <a:solidFill>
                            <a:srgbClr val="000000"/>
                          </a:solidFill>
                          <a:miter lim="800000"/>
                          <a:headEnd/>
                          <a:tailEnd/>
                        </a:ln>
                      </wps:spPr>
                      <wps:txbx>
                        <w:txbxContent>
                          <w:p w:rsidR="00F73C3A" w:rsidRPr="009A69DE" w:rsidRDefault="00F73C3A" w:rsidP="0043018E">
                            <w:pPr>
                              <w:rPr>
                                <w:rFonts w:ascii="Verdana" w:hAnsi="Verdana" w:cs="Arial"/>
                                <w:color w:val="595959" w:themeColor="text1" w:themeTint="A6"/>
                                <w:sz w:val="22"/>
                              </w:rPr>
                            </w:pPr>
                            <w:r w:rsidRPr="009A69DE">
                              <w:rPr>
                                <w:rFonts w:ascii="Verdana" w:hAnsi="Verdana" w:cs="Arial"/>
                                <w:color w:val="595959" w:themeColor="text1" w:themeTint="A6"/>
                                <w:sz w:val="2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83AE1" id="Text Box 7" o:spid="_x0000_s1037" type="#_x0000_t202" style="position:absolute;left:0;text-align:left;margin-left:133.8pt;margin-top:541.55pt;width:43.8pt;height:3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NRJAIAAEsEAAAOAAAAZHJzL2Uyb0RvYy54bWysVNtu2zAMfR+wfxD0vjjJkjQ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NVwa84s2Co&#10;RY+yD+wN9uwqstO1Pienh5bcQk/X1OVUqW/vUXz1zOKmAbuTt85h10ioKLtJfJldPB1wfAQpuw9Y&#10;URjYB0xAfe1MpI7IYIROXTqeOxNTEXQ5ny+mC7IIMs3Gr5ckxwiQPz1unQ/vJBoWhYI7anwCh8O9&#10;D4Prk0uM5VGraqu0TorblRvt2AFoSLbpO6H/5KYt6wp+PZ/Oh/r/CjFO358gjAo07VqZgi/PTpBH&#10;1t7aitKEPIDSg0zVaXuiMTI3cBj6sk/9miSSI8clVkci1uEw3bSNJDTovnPW0WQX3H/bg5Oc6feW&#10;mnM9mc3iKiRlNr+akuIuLeWlBawgqIIHzgZxE9L6xFwt3lITa5UIfs7klDNNbGrRabviSlzqyev5&#10;H7D+AQAA//8DAFBLAwQUAAYACAAAACEAGXNIoeIAAAANAQAADwAAAGRycy9kb3ducmV2LnhtbEyP&#10;y07DMBBF90j8gzVIbFDrPFonhDgVQgLRHbQItm7sJhF+BNtNw98zrGA5c4/unKk3s9FkUj4MznJI&#10;lwkQZVsnB9txeNs/LkogIQorhXZWcfhWATbN5UUtKunO9lVNu9gRLLGhEhz6GMeK0tD2yoiwdKOy&#10;mB2dNyLi6DsqvThjudE0SxJGjRgsXujFqB561X7uToZDuXqePsI2f3lv2VHfxptievrynF9fzfd3&#10;QKKa4x8Mv/qoDg06HdzJykA0h4wVDFEMkjJPgSCSr9cZkAOu0hUrgDY1/f9F8wMAAP//AwBQSwEC&#10;LQAUAAYACAAAACEAtoM4kv4AAADhAQAAEwAAAAAAAAAAAAAAAAAAAAAAW0NvbnRlbnRfVHlwZXNd&#10;LnhtbFBLAQItABQABgAIAAAAIQA4/SH/1gAAAJQBAAALAAAAAAAAAAAAAAAAAC8BAABfcmVscy8u&#10;cmVsc1BLAQItABQABgAIAAAAIQBKGLNRJAIAAEsEAAAOAAAAAAAAAAAAAAAAAC4CAABkcnMvZTJv&#10;RG9jLnhtbFBLAQItABQABgAIAAAAIQAZc0ih4gAAAA0BAAAPAAAAAAAAAAAAAAAAAH4EAABkcnMv&#10;ZG93bnJldi54bWxQSwUGAAAAAAQABADzAAAAjQUAAAAA&#10;">
                <v:textbox>
                  <w:txbxContent>
                    <w:p w:rsidR="00F73C3A" w:rsidRPr="009A69DE" w:rsidRDefault="00F73C3A" w:rsidP="0043018E">
                      <w:pPr>
                        <w:rPr>
                          <w:rFonts w:ascii="Verdana" w:hAnsi="Verdana" w:cs="Arial"/>
                          <w:color w:val="595959" w:themeColor="text1" w:themeTint="A6"/>
                          <w:sz w:val="22"/>
                        </w:rPr>
                      </w:pPr>
                      <w:r w:rsidRPr="009A69DE">
                        <w:rPr>
                          <w:rFonts w:ascii="Verdana" w:hAnsi="Verdana" w:cs="Arial"/>
                          <w:color w:val="595959" w:themeColor="text1" w:themeTint="A6"/>
                          <w:sz w:val="22"/>
                        </w:rPr>
                        <w:t>Yes</w:t>
                      </w:r>
                    </w:p>
                  </w:txbxContent>
                </v:textbox>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75648" behindDoc="0" locked="0" layoutInCell="1" allowOverlap="1" wp14:anchorId="736E1027" wp14:editId="606EAFDD">
                <wp:simplePos x="0" y="0"/>
                <wp:positionH relativeFrom="column">
                  <wp:posOffset>274320</wp:posOffset>
                </wp:positionH>
                <wp:positionV relativeFrom="paragraph">
                  <wp:posOffset>709295</wp:posOffset>
                </wp:positionV>
                <wp:extent cx="0" cy="480060"/>
                <wp:effectExtent l="95250" t="19050" r="76200" b="91440"/>
                <wp:wrapNone/>
                <wp:docPr id="6" name="Straight Arrow Connector 6"/>
                <wp:cNvGraphicFramePr/>
                <a:graphic xmlns:a="http://schemas.openxmlformats.org/drawingml/2006/main">
                  <a:graphicData uri="http://schemas.microsoft.com/office/word/2010/wordprocessingShape">
                    <wps:wsp>
                      <wps:cNvCnPr/>
                      <wps:spPr>
                        <a:xfrm>
                          <a:off x="0" y="0"/>
                          <a:ext cx="0" cy="4800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1DDC0C82" id="_x0000_t32" coordsize="21600,21600" o:spt="32" o:oned="t" path="m,l21600,21600e" filled="f">
                <v:path arrowok="t" fillok="f" o:connecttype="none"/>
                <o:lock v:ext="edit" shapetype="t"/>
              </v:shapetype>
              <v:shape id="Straight Arrow Connector 6" o:spid="_x0000_s1026" type="#_x0000_t32" style="position:absolute;margin-left:21.6pt;margin-top:55.85pt;width:0;height:3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zv0AEAAPADAAAOAAAAZHJzL2Uyb0RvYy54bWysU02P2yAQvVfqf0DcGztRFa2sOKsq2/ZS&#10;tVG3+wNYDDEqMGigsf3vO+DEW/XrsNrL2MC8mfcew+52dJadFUYDvuXrVc2Z8hI6408tf/j24c0N&#10;ZzEJ3wkLXrV8UpHf7l+/2g2hURvowXYKGRXxsRlCy/uUQlNVUfbKibiCoDwdakAnEi3xVHUoBqru&#10;bLWp6201AHYBQaoYafduPuT7Ul9rJdMXraNKzLacuKUSscTHHKv9TjQnFKE38kJDPIOFE8ZT06XU&#10;nUiC/UDzRylnJEIEnVYSXAVaG6mKBlKzrn9Tc9+LoIoWMieGxab4cmXl5/MRmelavuXMC0dXdJ9Q&#10;mFOf2DtEGNgBvCcbAdk2uzWE2BDo4I94WcVwxCx91Ojyl0SxsTg8LQ6rMTE5b0rafXtDV1fMr55w&#10;AWP6qMCx/NPyeKGx9F8Xg8X5U0zUmYBXQG5qfY5JGPvedyxNgYSIzD9zptx8XmXuM9vylyarZuxX&#10;pckD4rcpPcr0qYNFdhY0N9339VKFMjNEG2sXUP1/0CU3w1SZyAU4K/pntyW7dASfFqAzHvBvXdN4&#10;parn/KvqWWuW/QjdVO6u2EFjVfy5PIE8t7+uC/zpoe5/AgAA//8DAFBLAwQUAAYACAAAACEA3CN6&#10;Xt0AAAAJAQAADwAAAGRycy9kb3ducmV2LnhtbEyPTU/DMAyG70j8h8hI3Fj6gejUNZ3QEFLhBIPD&#10;jlnrtdUaJ2qytvx7DBc4+vGr14+L7WIGMeHoe0sK4lUEAqm2TU+tgs+P57s1CB80NXqwhAq+0MO2&#10;vL4qdN7Ymd5x2odWcAn5XCvoQnC5lL7u0Gi/sg6Jdyc7Gh14HFvZjHrmcjPIJIoepNE98YVOO9x1&#10;WJ/3F6Ngnk5Jm7jdS/X2mh3OlXVV+uSUur1ZHjcgAi7hLww/+qwOJTsd7YUaLwYF92nCSeZxnIHg&#10;wC84MlhnKciykP8/KL8BAAD//wMAUEsBAi0AFAAGAAgAAAAhALaDOJL+AAAA4QEAABMAAAAAAAAA&#10;AAAAAAAAAAAAAFtDb250ZW50X1R5cGVzXS54bWxQSwECLQAUAAYACAAAACEAOP0h/9YAAACUAQAA&#10;CwAAAAAAAAAAAAAAAAAvAQAAX3JlbHMvLnJlbHNQSwECLQAUAAYACAAAACEAA4zs79ABAADwAwAA&#10;DgAAAAAAAAAAAAAAAAAuAgAAZHJzL2Uyb0RvYy54bWxQSwECLQAUAAYACAAAACEA3CN6Xt0AAAAJ&#10;AQAADwAAAAAAAAAAAAAAAAAqBAAAZHJzL2Rvd25yZXYueG1sUEsFBgAAAAAEAAQA8wAAADQFAAAA&#10;AA==&#10;" strokecolor="black [3200]" strokeweight="2pt">
                <v:stroke endarrow="open"/>
                <v:shadow on="t" color="black" opacity="24903f" origin=",.5" offset="0,.55556mm"/>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76672" behindDoc="0" locked="0" layoutInCell="1" allowOverlap="1" wp14:anchorId="115D8954" wp14:editId="4C6A1F66">
                <wp:simplePos x="0" y="0"/>
                <wp:positionH relativeFrom="column">
                  <wp:posOffset>5113020</wp:posOffset>
                </wp:positionH>
                <wp:positionV relativeFrom="paragraph">
                  <wp:posOffset>2652395</wp:posOffset>
                </wp:positionV>
                <wp:extent cx="0" cy="541020"/>
                <wp:effectExtent l="114300" t="19050" r="76200" b="87630"/>
                <wp:wrapNone/>
                <wp:docPr id="5" name="Straight Arrow Connector 5"/>
                <wp:cNvGraphicFramePr/>
                <a:graphic xmlns:a="http://schemas.openxmlformats.org/drawingml/2006/main">
                  <a:graphicData uri="http://schemas.microsoft.com/office/word/2010/wordprocessingShape">
                    <wps:wsp>
                      <wps:cNvCnPr/>
                      <wps:spPr>
                        <a:xfrm>
                          <a:off x="0" y="0"/>
                          <a:ext cx="0" cy="5410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3DE5C5" id="Straight Arrow Connector 5" o:spid="_x0000_s1026" type="#_x0000_t32" style="position:absolute;margin-left:402.6pt;margin-top:208.85pt;width:0;height:4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xq0QEAAPADAAAOAAAAZHJzL2Uyb0RvYy54bWysU02P0zAQvSPxHyzfaZKKIlQ1XaEucEFQ&#10;scsP8Dp2Y2F7rLFpkn/P2GmziI89rLhMYnvezHvP493N6Cw7K4wGfMubVc2Z8hI6408t/3b/4dVb&#10;zmISvhMWvGr5pCK/2b98sRvCVq2hB9spZFTEx+0QWt6nFLZVFWWvnIgrCMrToQZ0ItEST1WHYqDq&#10;zlbrun5TDYBdQJAqRtq9nQ/5vtTXWsn0ReuoErMtJ26pRCzxIcdqvxPbE4rQG3mhIZ7BwgnjqelS&#10;6lYkwX6g+aOUMxIhgk4rCa4CrY1URQOpaerf1Nz1IqiihcyJYbEp/r+y8vP5iMx0Ld9w5oWjK7pL&#10;KMypT+wdIgzsAN6TjYBsk90aQtwS6OCPeFnFcMQsfdTo8pdEsbE4PC0OqzExOW9K2t28bup1Mb96&#10;xAWM6aMCx/JPy+OFxtK/KQaL86eYqDMBr4Dc1PockzD2ve9YmgIJEZl/5ky5+bzK3Ge25S9NVs3Y&#10;r0qTB8RvXXqU6VMHi+wsaG66781ShTIzRBtrF1D9NOiSm2GqTOQCnBX9s9uSXTqCTwvQGQ/4t65p&#10;vFLVc/5V9aw1y36Abip3V+ygsSr+XJ5Anttf1wX++FD3PwEAAP//AwBQSwMEFAAGAAgAAAAhAPpF&#10;8PTfAAAACwEAAA8AAABkcnMvZG93bnJldi54bWxMj8FOwzAMhu9IvENkJG4sWWB0lKYTGkIqnGBw&#10;4Jg1XlutcaIma8vbE8QBjrY//f7+YjPbno04hM6RguVCAEOqnemoUfDx/nS1BhaiJqN7R6jgCwNs&#10;yvOzQufGTfSG4y42LIVQyLWCNkafcx7qFq0OC+eR0u3gBqtjGoeGm0FPKdz2XApxy63uKH1otcdt&#10;i/Vxd7IKpvEgG+m3z9XrS/Z5rJyvrh+9UpcX88M9sIhz/IPhRz+pQ5mc9u5EJrBewVqsZEIV3Cyz&#10;DFgifjd7BSsh74CXBf/fofwGAAD//wMAUEsBAi0AFAAGAAgAAAAhALaDOJL+AAAA4QEAABMAAAAA&#10;AAAAAAAAAAAAAAAAAFtDb250ZW50X1R5cGVzXS54bWxQSwECLQAUAAYACAAAACEAOP0h/9YAAACU&#10;AQAACwAAAAAAAAAAAAAAAAAvAQAAX3JlbHMvLnJlbHNQSwECLQAUAAYACAAAACEA5VdcatEBAADw&#10;AwAADgAAAAAAAAAAAAAAAAAuAgAAZHJzL2Uyb0RvYy54bWxQSwECLQAUAAYACAAAACEA+kXw9N8A&#10;AAALAQAADwAAAAAAAAAAAAAAAAArBAAAZHJzL2Rvd25yZXYueG1sUEsFBgAAAAAEAAQA8wAAADcF&#10;AAAAAA==&#10;" strokecolor="black [3200]" strokeweight="2pt">
                <v:stroke endarrow="open"/>
                <v:shadow on="t" color="black" opacity="24903f" origin=",.5" offset="0,.55556mm"/>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77696" behindDoc="0" locked="0" layoutInCell="1" allowOverlap="1" wp14:anchorId="1E437BA0" wp14:editId="1DEA6E5C">
                <wp:simplePos x="0" y="0"/>
                <wp:positionH relativeFrom="column">
                  <wp:posOffset>2849880</wp:posOffset>
                </wp:positionH>
                <wp:positionV relativeFrom="paragraph">
                  <wp:posOffset>2660015</wp:posOffset>
                </wp:positionV>
                <wp:extent cx="0" cy="525780"/>
                <wp:effectExtent l="114300" t="19050" r="76200" b="83820"/>
                <wp:wrapNone/>
                <wp:docPr id="1" name="Straight Arrow Connector 1"/>
                <wp:cNvGraphicFramePr/>
                <a:graphic xmlns:a="http://schemas.openxmlformats.org/drawingml/2006/main">
                  <a:graphicData uri="http://schemas.microsoft.com/office/word/2010/wordprocessingShape">
                    <wps:wsp>
                      <wps:cNvCnPr/>
                      <wps:spPr>
                        <a:xfrm>
                          <a:off x="0" y="0"/>
                          <a:ext cx="0" cy="5257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B03B57" id="Straight Arrow Connector 1" o:spid="_x0000_s1026" type="#_x0000_t32" style="position:absolute;margin-left:224.4pt;margin-top:209.45pt;width:0;height:4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Bu0QEAAPADAAAOAAAAZHJzL2Uyb0RvYy54bWysU02P0zAQvSPxHyzfadJKC6uo6Qp1gQuC&#10;ioUf4HXsxsL2WGPTJP+esZNmEV8HxGUS2/Nm3nse7+9GZ9lFYTTgW77d1JwpL6Ez/tzyL5/fvrjl&#10;LCbhO2HBq5ZPKvK7w/Nn+yE0agc92E4hoyI+NkNoeZ9SaKoqyl45ETcQlKdDDehEoiWeqw7FQNWd&#10;rXZ1/bIaALuAIFWMtHs/H/JDqa+1kumj1lElZltO3FKJWOJjjtVhL5ozitAbudAQ/8DCCeOp6Vrq&#10;XiTBvqH5pZQzEiGCThsJrgKtjVRFA6nZ1j+peehFUEULmRPDalP8f2Xlh8sJmeno7jjzwtEVPSQU&#10;5twn9hoRBnYE78lGQLbNbg0hNgQ6+hMuqxhOmKWPGl3+kig2Foen1WE1JibnTUm7N7ubV7fF/OoJ&#10;FzCmdwocyz8tjwuNtf+2GCwu72OizgS8AnJT63NMwtg3vmNpCiREZP6ZM+Xm8ypzn9mWvzRZNWM/&#10;KU0eEL9d6VGmTx0tsouguem+FuWlCmVmiDbWrqD676AlN8NUmcgVOCv6Y7c1u3QEn1agMx7wd13T&#10;eKWq5/yr6llrlv0I3VTurthBY1X8WZ5Antsf1wX+9FAP3wEAAP//AwBQSwMEFAAGAAgAAAAhAAw3&#10;A3XgAAAACwEAAA8AAABkcnMvZG93bnJldi54bWxMj0FPg0AQhe8m/ofNmHizC1gtIktjakyoJ60e&#10;PG5hCqTs7IbdAv57p/Ggt5k3L+99k69n04sRB99ZUhAvIhBIla07ahR8frzcpCB80FTr3hIq+EYP&#10;6+LyItdZbSd6x3EXGsEh5DOtoA3BZVL6qkWj/cI6JL4d7GB04HVoZD3oicNNL5MoupdGd8QNrXa4&#10;abE67k5GwTQekiZxm2359rr6OpbWlbfPTqnrq/npEUTAOfyZ4YzP6FAw096eqPaiV7BcpoweeIjT&#10;BxDs+FX2Cu6ieAWyyOX/H4ofAAAA//8DAFBLAQItABQABgAIAAAAIQC2gziS/gAAAOEBAAATAAAA&#10;AAAAAAAAAAAAAAAAAABbQ29udGVudF9UeXBlc10ueG1sUEsBAi0AFAAGAAgAAAAhADj9If/WAAAA&#10;lAEAAAsAAAAAAAAAAAAAAAAALwEAAF9yZWxzLy5yZWxzUEsBAi0AFAAGAAgAAAAhANmU0G7RAQAA&#10;8AMAAA4AAAAAAAAAAAAAAAAALgIAAGRycy9lMm9Eb2MueG1sUEsBAi0AFAAGAAgAAAAhAAw3A3Xg&#10;AAAACwEAAA8AAAAAAAAAAAAAAAAAKwQAAGRycy9kb3ducmV2LnhtbFBLBQYAAAAABAAEAPMAAAA4&#10;BQAAAAA=&#10;" strokecolor="black [3200]" strokeweight="2pt">
                <v:stroke endarrow="open"/>
                <v:shadow on="t" color="black" opacity="24903f" origin=",.5" offset="0,.55556mm"/>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78720" behindDoc="0" locked="0" layoutInCell="1" allowOverlap="1" wp14:anchorId="459892F8" wp14:editId="094AFBE1">
                <wp:simplePos x="0" y="0"/>
                <wp:positionH relativeFrom="column">
                  <wp:posOffset>2849880</wp:posOffset>
                </wp:positionH>
                <wp:positionV relativeFrom="paragraph">
                  <wp:posOffset>1582420</wp:posOffset>
                </wp:positionV>
                <wp:extent cx="0" cy="480060"/>
                <wp:effectExtent l="95250" t="19050" r="76200" b="91440"/>
                <wp:wrapNone/>
                <wp:docPr id="17" name="Straight Arrow Connector 17"/>
                <wp:cNvGraphicFramePr/>
                <a:graphic xmlns:a="http://schemas.openxmlformats.org/drawingml/2006/main">
                  <a:graphicData uri="http://schemas.microsoft.com/office/word/2010/wordprocessingShape">
                    <wps:wsp>
                      <wps:cNvCnPr/>
                      <wps:spPr>
                        <a:xfrm>
                          <a:off x="0" y="0"/>
                          <a:ext cx="0" cy="4800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F5978F6" id="Straight Arrow Connector 17" o:spid="_x0000_s1026" type="#_x0000_t32" style="position:absolute;margin-left:224.4pt;margin-top:124.6pt;width:0;height:3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F30QEAAPIDAAAOAAAAZHJzL2Uyb0RvYy54bWysU02P0zAQvSPxHyzfadIKwSpqukJd4IKg&#10;Ypcf4HXsxsL2WGPTJP+esZNmEV8HxGUS2/Nm3nse729HZ9lFYTTgW77d1JwpL6Ez/tzyLw/vXtxw&#10;FpPwnbDgVcsnFfnt4fmz/RAatYMebKeQUREfmyG0vE8pNFUVZa+ciBsIytOhBnQi0RLPVYdioOrO&#10;Vru6flUNgF1AkCpG2r2bD/mh1NdayfRJ66gSsy0nbqlELPExx+qwF80ZReiNXGiIf2DhhPHUdC11&#10;J5Jg39D8UsoZiRBBp40EV4HWRqqigdRs65/U3PciqKKFzIlhtSn+v7Ly4+WEzHR0d68588LRHd0n&#10;FObcJ/YGEQZ2BO/JR0BGKeTXEGJDsKM/4bKK4YRZ/KjR5S/JYmPxeFo9VmNict6UtPvyhi6v2F89&#10;4QLG9F6BY/mn5XHhsRLYFovF5UNM1JmAV0Buan2OSRj71ncsTYGUiCwgc6bcfF5l7jPb8pcmq2bs&#10;Z6XJBeK3Kz3K/KmjRXYRNDnd1+1ahTIzRBtrV1D9d9CSm2GqzOQKnBX9sduaXTqCTyvQGQ/4u65p&#10;vFLVc/5V9aw1y36Ebip3V+ygwSr+LI8gT+6P6wJ/eqqH7wAAAP//AwBQSwMEFAAGAAgAAAAhAIAH&#10;yXrfAAAACwEAAA8AAABkcnMvZG93bnJldi54bWxMj8FOwzAQRO9I/IO1SNyogxtBCNlUqAgpcILC&#10;gaObbJOo8dqK3ST8PUYc4Lizo5k3xWYxg5ho9L1lhOtVAoK4tk3PLcLH+9NVBsIHzY0eLBPCF3nY&#10;lOdnhc4bO/MbTbvQihjCPtcIXQgul9LXHRntV9YRx9/BjkaHeI6tbEY9x3AzSJUkN9LonmNDpx1t&#10;O6qPu5NBmKeDapXbPlevL7efx8q6av3oEC8vlod7EIGW8GeGH/yIDmVk2tsTN14MCGmaRfSAoNI7&#10;BSI6fpU9wlqlGciykP83lN8AAAD//wMAUEsBAi0AFAAGAAgAAAAhALaDOJL+AAAA4QEAABMAAAAA&#10;AAAAAAAAAAAAAAAAAFtDb250ZW50X1R5cGVzXS54bWxQSwECLQAUAAYACAAAACEAOP0h/9YAAACU&#10;AQAACwAAAAAAAAAAAAAAAAAvAQAAX3JlbHMvLnJlbHNQSwECLQAUAAYACAAAACEAXV8Bd9EBAADy&#10;AwAADgAAAAAAAAAAAAAAAAAuAgAAZHJzL2Uyb0RvYy54bWxQSwECLQAUAAYACAAAACEAgAfJet8A&#10;AAALAQAADwAAAAAAAAAAAAAAAAArBAAAZHJzL2Rvd25yZXYueG1sUEsFBgAAAAAEAAQA8wAAADcF&#10;AAAAAA==&#10;" strokecolor="black [3200]" strokeweight="2pt">
                <v:stroke endarrow="open"/>
                <v:shadow on="t" color="black" opacity="24903f" origin=",.5" offset="0,.55556mm"/>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79744" behindDoc="0" locked="0" layoutInCell="1" allowOverlap="1" wp14:anchorId="1CAD9AAB" wp14:editId="4B1340E0">
                <wp:simplePos x="0" y="0"/>
                <wp:positionH relativeFrom="column">
                  <wp:posOffset>2842260</wp:posOffset>
                </wp:positionH>
                <wp:positionV relativeFrom="paragraph">
                  <wp:posOffset>701675</wp:posOffset>
                </wp:positionV>
                <wp:extent cx="0" cy="480060"/>
                <wp:effectExtent l="95250" t="19050" r="76200" b="91440"/>
                <wp:wrapNone/>
                <wp:docPr id="18" name="Straight Arrow Connector 18"/>
                <wp:cNvGraphicFramePr/>
                <a:graphic xmlns:a="http://schemas.openxmlformats.org/drawingml/2006/main">
                  <a:graphicData uri="http://schemas.microsoft.com/office/word/2010/wordprocessingShape">
                    <wps:wsp>
                      <wps:cNvCnPr/>
                      <wps:spPr>
                        <a:xfrm>
                          <a:off x="0" y="0"/>
                          <a:ext cx="0" cy="4800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2E2D91F" id="Straight Arrow Connector 18" o:spid="_x0000_s1026" type="#_x0000_t32" style="position:absolute;margin-left:223.8pt;margin-top:55.25pt;width:0;height:3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k0QEAAPIDAAAOAAAAZHJzL2Uyb0RvYy54bWysU02P0zAQvSPxHyzfadIKoVXUdLXqAhcE&#10;FQs/wOvYjYXtscamSf49YyfNIr4OaC9ObM+bee/NeH87OssuCqMB3/LtpuZMeQmd8eeWf/3y7tUN&#10;ZzEJ3wkLXrV8UpHfHl6+2A+hUTvowXYKGSXxsRlCy/uUQlNVUfbKibiBoDxdakAnEm3xXHUoBsru&#10;bLWr6zfVANgFBKlipNP7+ZIfSn6tlUyftI4qMdty4pbKimV9zGt12IvmjCL0Ri40xH+wcMJ4Krqm&#10;uhdJsO9ofkvljESIoNNGgqtAayNV0UBqtvUvah56EVTRQubEsNoUny+t/Hg5ITMd9Y465YWjHj0k&#10;FObcJ3aHCAM7gvfkIyCjEPJrCLEh2NGfcNnFcMIsftTo8pdksbF4PK0eqzExOR9KOn19Q80r9ldP&#10;uIAxvVfgWP5peVx4rAS2xWJx+RATVSbgFZCLWp/XJIx96zuWpkBKRBaQOVNsvq8y95lt+UuTVTP2&#10;s9LkAvHblRpl/tTRIrsImpzu23bNQpEZoo21K6j+N2iJzTBVZnIFzor+Wm2NLhXBpxXojAf8U9U0&#10;XqnqOf6qetaaZT9CN5XeFTtosIo/yyPIk/vzvsCfnurhBwAAAP//AwBQSwMEFAAGAAgAAAAhAG0U&#10;bvXfAAAACwEAAA8AAABkcnMvZG93bnJldi54bWxMj0FPg0AQhe8m/ofNNPFmF7DShrI0psYEPWn1&#10;4HELUyBlZzfsFvDfO8aDHue9L2/ey3ez6cWIg+8sKYiXEQikytYdNQo+3p9uNyB80FTr3hIq+EIP&#10;u+L6KtdZbSd6w/EQGsEh5DOtoA3BZVL6qkWj/dI6JPZOdjA68Dk0sh70xOGml0kUpdLojvhDqx3u&#10;W6zOh4tRMI2npEnc/rl8fVl/nkvryrtHp9TNYn7Yggg4hz8YfupzdSi409FeqPaiV7BarVNG2Yij&#10;exBM/CpHVjZpDLLI5f8NxTcAAAD//wMAUEsBAi0AFAAGAAgAAAAhALaDOJL+AAAA4QEAABMAAAAA&#10;AAAAAAAAAAAAAAAAAFtDb250ZW50X1R5cGVzXS54bWxQSwECLQAUAAYACAAAACEAOP0h/9YAAACU&#10;AQAACwAAAAAAAAAAAAAAAAAvAQAAX3JlbHMvLnJlbHNQSwECLQAUAAYACAAAACEAv3Xa5NEBAADy&#10;AwAADgAAAAAAAAAAAAAAAAAuAgAAZHJzL2Uyb0RvYy54bWxQSwECLQAUAAYACAAAACEAbRRu9d8A&#10;AAALAQAADwAAAAAAAAAAAAAAAAArBAAAZHJzL2Rvd25yZXYueG1sUEsFBgAAAAAEAAQA8wAAADcF&#10;AAAAAA==&#10;" strokecolor="black [3200]" strokeweight="2pt">
                <v:stroke endarrow="open"/>
                <v:shadow on="t" color="black" opacity="24903f" origin=",.5" offset="0,.55556mm"/>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80768" behindDoc="0" locked="0" layoutInCell="1" allowOverlap="1" wp14:anchorId="3CACB867" wp14:editId="492B17E4">
                <wp:simplePos x="0" y="0"/>
                <wp:positionH relativeFrom="column">
                  <wp:posOffset>320040</wp:posOffset>
                </wp:positionH>
                <wp:positionV relativeFrom="paragraph">
                  <wp:posOffset>7280910</wp:posOffset>
                </wp:positionV>
                <wp:extent cx="0" cy="388620"/>
                <wp:effectExtent l="114300" t="19050" r="133350" b="87630"/>
                <wp:wrapNone/>
                <wp:docPr id="19" name="Straight Arrow Connector 19"/>
                <wp:cNvGraphicFramePr/>
                <a:graphic xmlns:a="http://schemas.openxmlformats.org/drawingml/2006/main">
                  <a:graphicData uri="http://schemas.microsoft.com/office/word/2010/wordprocessingShape">
                    <wps:wsp>
                      <wps:cNvCnPr/>
                      <wps:spPr>
                        <a:xfrm>
                          <a:off x="0" y="0"/>
                          <a:ext cx="0" cy="3886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DCB4C7" id="Straight Arrow Connector 19" o:spid="_x0000_s1026" type="#_x0000_t32" style="position:absolute;margin-left:25.2pt;margin-top:573.3pt;width:0;height:3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mr0gEAAPIDAAAOAAAAZHJzL2Uyb0RvYy54bWysU02P0zAQvSPxHyzfadIirUrUdIW6wAVB&#10;xcIP8Dp2Y2F7rLFpkn/P2GmziK/Dai+T2J43897zeHc7OsvOCqMB3/L1quZMeQmd8aeWf/v6/tWW&#10;s5iE74QFr1o+qchv9y9f7IbQqA30YDuFjIr42Ayh5X1KoamqKHvlRFxBUJ4ONaATiZZ4qjoUA1V3&#10;ttrU9U01AHYBQaoYafduPuT7Ul9rJdNnraNKzLacuKUSscSHHKv9TjQnFKE38kJDPIGFE8ZT06XU&#10;nUiC/UDzRylnJEIEnVYSXAVaG6mKBlKzrn9Tc9+LoIoWMieGxab4fGXlp/MRmeno7t5w5oWjO7pP&#10;KMypT+wtIgzsAN6Tj4CMUsivIcSGYAd/xMsqhiNm8aNGl78ki43F42nxWI2JyXlT0u7r7fZmU+yv&#10;HnEBY/qgwLH80/J44bEQWBeLxfljTNSZgFdAbmp9jkkY+853LE2BlIgsIHOm3HxeZe4z2/KXJqtm&#10;7BelyQXityk9yvypg0V2FjQ53ff1UoUyM0QbaxdQ/X/QJTfDVJnJBTgr+me3Jbt0BJ8WoDMe8G9d&#10;03ilquf8q+pZa5b9AN1U7q7YQYNV/Lk8gjy5v64L/PGp7n8CAAD//wMAUEsDBBQABgAIAAAAIQAB&#10;hqg+3gAAAAsBAAAPAAAAZHJzL2Rvd25yZXYueG1sTI/BTsMwDIbvSLxDZCRuLFkZ3VSaTmgIqXCC&#10;wYFj1npttcaJmqwtb4/hAkd//vX7c76dbS9GHELnSMNyoUAgVa7uqNHw8f50swERoqHa9I5QwxcG&#10;2BaXF7nJajfRG4772AguoZAZDW2MPpMyVC1aExbOI/Hu6AZrIo9DI+vBTFxue5kolUprOuILrfG4&#10;a7E67c9WwzQekybxu+fy9WX9eSqdL28fvdbXV/PDPYiIc/wLw48+q0PBTgd3pjqIXsOdWnGS+XKV&#10;piA48UsOTBK13oAscvn/h+IbAAD//wMAUEsBAi0AFAAGAAgAAAAhALaDOJL+AAAA4QEAABMAAAAA&#10;AAAAAAAAAAAAAAAAAFtDb250ZW50X1R5cGVzXS54bWxQSwECLQAUAAYACAAAACEAOP0h/9YAAACU&#10;AQAACwAAAAAAAAAAAAAAAAAvAQAAX3JlbHMvLnJlbHNQSwECLQAUAAYACAAAACEAm7x5q9IBAADy&#10;AwAADgAAAAAAAAAAAAAAAAAuAgAAZHJzL2Uyb0RvYy54bWxQSwECLQAUAAYACAAAACEAAYaoPt4A&#10;AAALAQAADwAAAAAAAAAAAAAAAAAsBAAAZHJzL2Rvd25yZXYueG1sUEsFBgAAAAAEAAQA8wAAADcF&#10;AAAAAA==&#10;" strokecolor="black [3200]" strokeweight="2pt">
                <v:stroke endarrow="open"/>
                <v:shadow on="t" color="black" opacity="24903f" origin=",.5" offset="0,.55556mm"/>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81792" behindDoc="0" locked="0" layoutInCell="1" allowOverlap="1" wp14:anchorId="154062D1" wp14:editId="621BAF5C">
                <wp:simplePos x="0" y="0"/>
                <wp:positionH relativeFrom="column">
                  <wp:posOffset>320040</wp:posOffset>
                </wp:positionH>
                <wp:positionV relativeFrom="paragraph">
                  <wp:posOffset>6552565</wp:posOffset>
                </wp:positionV>
                <wp:extent cx="0" cy="327660"/>
                <wp:effectExtent l="95250" t="19050" r="114300" b="91440"/>
                <wp:wrapNone/>
                <wp:docPr id="20" name="Straight Arrow Connector 20"/>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916B57" id="Straight Arrow Connector 20" o:spid="_x0000_s1026" type="#_x0000_t32" style="position:absolute;margin-left:25.2pt;margin-top:515.95pt;width:0;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UP0gEAAPIDAAAOAAAAZHJzL2Uyb0RvYy54bWysU02P0zAQvSPxHyzfadIgFVQ1XaEucEFQ&#10;scsP8Dp2Y2F7rLFpkn/P2GmziI89rLhMYnvezHvP493N6Cw7K4wGfMvXq5oz5SV0xp9a/u3+w6u3&#10;nMUkfCcseNXySUV+s3/5YjeErWqgB9spZFTEx+0QWt6nFLZVFWWvnIgrCMrToQZ0ItEST1WHYqDq&#10;zlZNXW+qAbALCFLFSLu38yHfl/paK5m+aB1VYrblxC2ViCU+5Fjtd2J7QhF6Iy80xDNYOGE8NV1K&#10;3Yok2A80f5RyRiJE0GklwVWgtZGqaCA16/o3NXe9CKpoIXNiWGyK/6+s/Hw+IjNdyxuyxwtHd3SX&#10;UJhTn9g7RBjYAbwnHwEZpZBfQ4hbgh38ES+rGI6YxY8aXf6SLDYWj6fFYzUmJudNSbuvmzebTSlX&#10;PeICxvRRgWP5p+XxwmMhsC4Wi/OnmKgzAa+A3NT6HJMw9r3vWJoCKRFZQOZMufm8ytxntuUvTVbN&#10;2K9KkwvEryk9yvypg0V2FjQ53ff1UoUyM0QbaxdQ/TTokpthqszkApwV/bPbkl06gk8L0BkP+Leu&#10;abxS1XP+VfWsNct+gG4qd1fsoMEq/lweQZ7cX9cF/vhU9z8BAAD//wMAUEsDBBQABgAIAAAAIQBF&#10;ooov3wAAAAsBAAAPAAAAZHJzL2Rvd25yZXYueG1sTI/BTsMwDIbvSLxDZCRuLFnLYJSmExpCKjvB&#10;tgPHrMnaao0TNVlb3h6PCxz9+dfvz/lqsh0bTB9ahxLmMwHMYOV0i7WE/e7tbgksRIVadQ6NhG8T&#10;YFVcX+Uq027ETzNsY82oBEOmJDQx+ozzUDXGqjBz3iDtjq63KtLY11z3aqRy2/FEiAduVYt0oVHe&#10;rBtTnbZnK2Ecjkmd+PV7+bF5/DqVzpfpq5fy9mZ6eQYWzRT/wnDRJ3UoyOngzqgD6yQsxD0liYt0&#10;/gSMEr/kcCHLdAG8yPn/H4ofAAAA//8DAFBLAQItABQABgAIAAAAIQC2gziS/gAAAOEBAAATAAAA&#10;AAAAAAAAAAAAAAAAAABbQ29udGVudF9UeXBlc10ueG1sUEsBAi0AFAAGAAgAAAAhADj9If/WAAAA&#10;lAEAAAsAAAAAAAAAAAAAAAAALwEAAF9yZWxzLy5yZWxzUEsBAi0AFAAGAAgAAAAhAC0S5Q/SAQAA&#10;8gMAAA4AAAAAAAAAAAAAAAAALgIAAGRycy9lMm9Eb2MueG1sUEsBAi0AFAAGAAgAAAAhAEWiii/f&#10;AAAACwEAAA8AAAAAAAAAAAAAAAAALAQAAGRycy9kb3ducmV2LnhtbFBLBQYAAAAABAAEAPMAAAA4&#10;BQAAAAA=&#10;" strokecolor="black [3200]" strokeweight="2pt">
                <v:stroke endarrow="open"/>
                <v:shadow on="t" color="black" opacity="24903f" origin=",.5" offset="0,.55556mm"/>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82816" behindDoc="0" locked="0" layoutInCell="1" allowOverlap="1" wp14:anchorId="5B23488B" wp14:editId="73A2DA74">
                <wp:simplePos x="0" y="0"/>
                <wp:positionH relativeFrom="column">
                  <wp:posOffset>1996440</wp:posOffset>
                </wp:positionH>
                <wp:positionV relativeFrom="paragraph">
                  <wp:posOffset>6560185</wp:posOffset>
                </wp:positionV>
                <wp:extent cx="0" cy="327660"/>
                <wp:effectExtent l="95250" t="19050" r="114300" b="91440"/>
                <wp:wrapNone/>
                <wp:docPr id="21" name="Straight Arrow Connector 21"/>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CF236D" id="Straight Arrow Connector 21" o:spid="_x0000_s1026" type="#_x0000_t32" style="position:absolute;margin-left:157.2pt;margin-top:516.55pt;width:0;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2H0wEAAPIDAAAOAAAAZHJzL2Uyb0RvYy54bWysU02P0zAQvSPxHyzfadIgFVQ1XaEucEFQ&#10;scsP8Dp2Y2F7rLFpkn/P2GmziI89rLhMYnvezHvP493N6Cw7K4wGfMvXq5oz5SV0xp9a/u3+w6u3&#10;nMUkfCcseNXySUV+s3/5YjeErWqgB9spZFTEx+0QWt6nFLZVFWWvnIgrCMrToQZ0ItEST1WHYqDq&#10;zlZNXW+qAbALCFLFSLu38yHfl/paK5m+aB1VYrblxC2ViCU+5Fjtd2J7QhF6Iy80xDNYOGE8NV1K&#10;3Yok2A80f5RyRiJE0GklwVWgtZGqaCA16/o3NXe9CKpoIXNiWGyK/6+s/Hw+IjNdy5s1Z144uqO7&#10;hMKc+sTeIcLADuA9+QjIKIX8GkLcEuzgj3hZxXDELH7U6PKXZLGxeDwtHqsxMTlvStp93bzZbIr9&#10;1SMuYEwfFTiWf1oeLzwWAutisTh/iok6E/AKyE2tzzEJY9/7jqUpkBKRBWTOlJvPq8x9Zlv+0mTV&#10;jP2qNLlA/JrSo8yfOlhkZ0GT030vyksVyswQbaxdQPXToEtuhqkykwtwVvTPbkt26Qg+LUBnPODf&#10;uqbxSlXP+VfVs9Ys+wG6qdxdsYMGq/hzeQR5cn9dF/jjU93/BAAA//8DAFBLAwQUAAYACAAAACEA&#10;TxcSft8AAAANAQAADwAAAGRycy9kb3ducmV2LnhtbEyPzU7DMBCE70i8g7VI3KjzJ1qFOBUqQgqc&#10;oHDg6CbbJGq8tmI3CW/PVhzguDOfZmeK7WIGMeHoe0sK4lUEAqm2TU+tgs+P57sNCB80NXqwhAq+&#10;0cO2vL4qdN7Ymd5x2odWcAj5XCvoQnC5lL7u0Gi/sg6JvaMdjQ58jq1sRj1zuBlkEkX30uie+EOn&#10;He46rE/7s1EwT8ekTdzupXp7XX+dKuuq9MkpdXuzPD6ACLiEPxgu9bk6lNzpYM/UeDEoSOMsY5SN&#10;KE1jEIz8SoeLtMnWIMtC/l9R/gAAAP//AwBQSwECLQAUAAYACAAAACEAtoM4kv4AAADhAQAAEwAA&#10;AAAAAAAAAAAAAAAAAAAAW0NvbnRlbnRfVHlwZXNdLnhtbFBLAQItABQABgAIAAAAIQA4/SH/1gAA&#10;AJQBAAALAAAAAAAAAAAAAAAAAC8BAABfcmVscy8ucmVsc1BLAQItABQABgAIAAAAIQCnjk2H0wEA&#10;APIDAAAOAAAAAAAAAAAAAAAAAC4CAABkcnMvZTJvRG9jLnhtbFBLAQItABQABgAIAAAAIQBPFxJ+&#10;3wAAAA0BAAAPAAAAAAAAAAAAAAAAAC0EAABkcnMvZG93bnJldi54bWxQSwUGAAAAAAQABADzAAAA&#10;OQUAAAAA&#10;" strokecolor="black [3200]" strokeweight="2pt">
                <v:stroke endarrow="open"/>
                <v:shadow on="t" color="black" opacity="24903f" origin=",.5" offset="0,.55556mm"/>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83840" behindDoc="0" locked="0" layoutInCell="1" allowOverlap="1" wp14:anchorId="49A38BCD" wp14:editId="22371476">
                <wp:simplePos x="0" y="0"/>
                <wp:positionH relativeFrom="column">
                  <wp:posOffset>281940</wp:posOffset>
                </wp:positionH>
                <wp:positionV relativeFrom="paragraph">
                  <wp:posOffset>4814570</wp:posOffset>
                </wp:positionV>
                <wp:extent cx="7620" cy="327660"/>
                <wp:effectExtent l="95250" t="19050" r="106680" b="91440"/>
                <wp:wrapNone/>
                <wp:docPr id="22" name="Straight Arrow Connector 22"/>
                <wp:cNvGraphicFramePr/>
                <a:graphic xmlns:a="http://schemas.openxmlformats.org/drawingml/2006/main">
                  <a:graphicData uri="http://schemas.microsoft.com/office/word/2010/wordprocessingShape">
                    <wps:wsp>
                      <wps:cNvCnPr/>
                      <wps:spPr>
                        <a:xfrm flipH="1">
                          <a:off x="0" y="0"/>
                          <a:ext cx="7620" cy="3276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9D3D48" id="Straight Arrow Connector 22" o:spid="_x0000_s1026" type="#_x0000_t32" style="position:absolute;margin-left:22.2pt;margin-top:379.1pt;width:.6pt;height:25.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YM3gEAAP8DAAAOAAAAZHJzL2Uyb0RvYy54bWysU12P0zAQfEfiP1h+p0mD1ENV0xPq8fGA&#10;oOLgB/gcu7GwvdbaNOm/Z+2kAQF3D4gXK7Z3ZmfGm93t6Cw7K4wGfMvXq5oz5SV0xp9a/vXL2xev&#10;OItJ+E5Y8KrlFxX57f75s90QtqqBHmynkBGJj9shtLxPKWyrKspeORFXEJSnSw3oRKItnqoOxUDs&#10;zlZNXW+qAbALCFLFSKd30yXfF36tlUyftI4qMdty0pbKimV9yGu134ntCUXojZxliH9Q4YTx1HSh&#10;uhNJsO9o/qByRiJE0GklwVWgtZGqeCA36/o3N/e9CKp4oXBiWGKK/49WfjwfkZmu5U3DmReO3ug+&#10;oTCnPrHXiDCwA3hPOQIyKqG8hhC3BDv4I867GI6YzY8aHdPWhPc0CiUOMsjGkvZlSVuNiUk6vNk0&#10;9CKSLl42N5tNeYtqIslkAWN6p8Cx/NHyOIta1EwNxPlDTCSDgFdABluf1ySMfeM7li6BbInsJhug&#10;2nxfZSOT9PKVLlZN2M9KUyQksSkmyjCqg0V2FjRG3bf1wkKVGaKNtQuofho012aYKgO6ACdHj3Zb&#10;qktH8GkBOuMB/9Y1jVepeqq/up68ZtsP0F3KQ5Y4aMpKPvMfkcf4132B//xv9z8AAAD//wMAUEsD&#10;BBQABgAIAAAAIQB39EUi4QAAAAkBAAAPAAAAZHJzL2Rvd25yZXYueG1sTI/BasMwEETvhf6D2EIv&#10;oZFr7ERxvQ6lECgUCnFz6FGxNraJJRlJTpy/r3pqj8s8Zt6W21kP7ELO99YgPC8TYGQaq3rTIhy+&#10;dk8CmA/SKDlYQwg38rCt7u9KWSh7NXu61KFlscT4QiJ0IYwF577pSEu/tCOZmJ2s0zLE07VcOXmN&#10;5XrgaZKsuJa9iQudHOmto+ZcTxrBLXab822fpovTx3u9FvOUH74/ER8f5tcXYIHm8AfDr35Uhyo6&#10;He1klGcDQpZlkURY5yIFFoEsXwE7IohkI4BXJf//QfUDAAD//wMAUEsBAi0AFAAGAAgAAAAhALaD&#10;OJL+AAAA4QEAABMAAAAAAAAAAAAAAAAAAAAAAFtDb250ZW50X1R5cGVzXS54bWxQSwECLQAUAAYA&#10;CAAAACEAOP0h/9YAAACUAQAACwAAAAAAAAAAAAAAAAAvAQAAX3JlbHMvLnJlbHNQSwECLQAUAAYA&#10;CAAAACEAfKHmDN4BAAD/AwAADgAAAAAAAAAAAAAAAAAuAgAAZHJzL2Uyb0RvYy54bWxQSwECLQAU&#10;AAYACAAAACEAd/RFIuEAAAAJAQAADwAAAAAAAAAAAAAAAAA4BAAAZHJzL2Rvd25yZXYueG1sUEsF&#10;BgAAAAAEAAQA8wAAAEYFAAAAAA==&#10;" strokecolor="black [3200]" strokeweight="2pt">
                <v:stroke endarrow="open"/>
                <v:shadow on="t" color="black" opacity="24903f" origin=",.5" offset="0,.55556mm"/>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84864" behindDoc="0" locked="0" layoutInCell="1" allowOverlap="1" wp14:anchorId="3618B64E" wp14:editId="6D169417">
                <wp:simplePos x="0" y="0"/>
                <wp:positionH relativeFrom="column">
                  <wp:posOffset>2903220</wp:posOffset>
                </wp:positionH>
                <wp:positionV relativeFrom="paragraph">
                  <wp:posOffset>5612130</wp:posOffset>
                </wp:positionV>
                <wp:extent cx="929640" cy="2087880"/>
                <wp:effectExtent l="57150" t="19050" r="80010" b="83820"/>
                <wp:wrapNone/>
                <wp:docPr id="23" name="Straight Arrow Connector 23"/>
                <wp:cNvGraphicFramePr/>
                <a:graphic xmlns:a="http://schemas.openxmlformats.org/drawingml/2006/main">
                  <a:graphicData uri="http://schemas.microsoft.com/office/word/2010/wordprocessingShape">
                    <wps:wsp>
                      <wps:cNvCnPr/>
                      <wps:spPr>
                        <a:xfrm>
                          <a:off x="0" y="0"/>
                          <a:ext cx="929640" cy="20878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39370E" id="Straight Arrow Connector 23" o:spid="_x0000_s1026" type="#_x0000_t32" style="position:absolute;margin-left:228.6pt;margin-top:441.9pt;width:73.2pt;height:16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Ui2gEAAPgDAAAOAAAAZHJzL2Uyb0RvYy54bWysU8GO0zAQvSPxD5bvNGlASzdqukJd4IKg&#10;2mU/wOvYjYXtscamaf+esdNmESwcEJdJbM+bee95vL45OssOCqMB3/HlouZMeQm98fuOP3z98GrF&#10;WUzC98KCVx0/qchvNi9frMfQqgYGsL1CRkV8bMfQ8SGl0FZVlINyIi4gKE+HGtCJREvcVz2Kkao7&#10;WzV1fVWNgH1AkCpG2r2dDvmm1NdayfRF66gSsx0nbqlELPExx2qzFu0eRRiMPNMQ/8DCCeOp6Vzq&#10;ViTBvqP5rZQzEiGCTgsJrgKtjVRFA6lZ1r+ouR9EUEULmRPDbFP8f2Xl58MOmek73rzmzAtHd3Sf&#10;UJj9kNg7RBjZFrwnHwEZpZBfY4gtwbZ+h+dVDDvM4o8aXf6SLHYsHp9mj9UxMUmb18311Ru6CUlH&#10;Tb16u1qVS6ie0AFj+qjAsfzT8XhmM9NYFqPF4VNM1J+AF0BubX2OSRj73vcsnQLpEVlGZk65+bzK&#10;CibO5S+drJqwd0qTF8SyKT3KFKqtRXYQND/9t+VchTIzRBtrZ1D9d9A5N8NUmcwZOCn6Y7c5u3QE&#10;n2agMx7wua7peKGqp/yL6klrlv0I/ancYLGDxqv4c34KeX5/Xhf404Pd/AAAAP//AwBQSwMEFAAG&#10;AAgAAAAhABRxpkbhAAAADAEAAA8AAABkcnMvZG93bnJldi54bWxMj8tOwzAQRfdI/IM1SOyoUwfS&#10;KMSpUBFSYFUKC5ZuPE2ixg/FbhL+nmEFy9Ec3XtuuV3MwCYcQ++shPUqAYa2cbq3rYTPj5e7HFiI&#10;ymo1OIsSvjHAtrq+KlWh3WzfcTrEllGIDYWS0MXoC85D06FRYeU8Wvqd3GhUpHNsuR7VTOFm4CJJ&#10;Mm5Ub6mhUx53HTbnw8VImKeTaIXfvdb7t83XuXa+Tp+9lLc3y9MjsIhL/IPhV5/UoSKno7tYHdgg&#10;4f5hIwiVkOcpbSAiS9IM2JFQsRYZ8Krk/0dUPwAAAP//AwBQSwECLQAUAAYACAAAACEAtoM4kv4A&#10;AADhAQAAEwAAAAAAAAAAAAAAAAAAAAAAW0NvbnRlbnRfVHlwZXNdLnhtbFBLAQItABQABgAIAAAA&#10;IQA4/SH/1gAAAJQBAAALAAAAAAAAAAAAAAAAAC8BAABfcmVscy8ucmVsc1BLAQItABQABgAIAAAA&#10;IQAvKpUi2gEAAPgDAAAOAAAAAAAAAAAAAAAAAC4CAABkcnMvZTJvRG9jLnhtbFBLAQItABQABgAI&#10;AAAAIQAUcaZG4QAAAAwBAAAPAAAAAAAAAAAAAAAAADQEAABkcnMvZG93bnJldi54bWxQSwUGAAAA&#10;AAQABADzAAAAQgUAAAAA&#10;" strokecolor="black [3200]" strokeweight="2pt">
                <v:stroke endarrow="open"/>
                <v:shadow on="t" color="black" opacity="24903f" origin=",.5" offset="0,.55556mm"/>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85888" behindDoc="0" locked="0" layoutInCell="1" allowOverlap="1" wp14:anchorId="163C3AAF" wp14:editId="1FA3F6A9">
                <wp:simplePos x="0" y="0"/>
                <wp:positionH relativeFrom="column">
                  <wp:posOffset>2849880</wp:posOffset>
                </wp:positionH>
                <wp:positionV relativeFrom="paragraph">
                  <wp:posOffset>3592830</wp:posOffset>
                </wp:positionV>
                <wp:extent cx="0" cy="365760"/>
                <wp:effectExtent l="95250" t="19050" r="133350" b="91440"/>
                <wp:wrapNone/>
                <wp:docPr id="24" name="Straight Arrow Connector 24"/>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025F9" id="Straight Arrow Connector 24" o:spid="_x0000_s1026" type="#_x0000_t32" style="position:absolute;margin-left:224.4pt;margin-top:282.9pt;width:0;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7s0gEAAPIDAAAOAAAAZHJzL2Uyb0RvYy54bWysU02P0zAQvSPxHyzfadICBUVNV6gLXBBU&#10;u/ADvI7dWNgea2ya5t8zdtIs4uuAuExie97Me8/j3c3FWXZWGA34lq9XNWfKS+iMP7X8y+d3z15z&#10;FpPwnbDgVctHFfnN/umT3RAatYEebKeQUREfmyG0vE8pNFUVZa+ciCsIytOhBnQi0RJPVYdioOrO&#10;Vpu63lYDYBcQpIqRdm+nQ74v9bVWMn3SOqrEbMuJWyoRS3zIsdrvRHNCEXojZxriH1g4YTw1XUrd&#10;iiTYNzS/lHJGIkTQaSXBVaC1kapoIDXr+ic1970Iqmghc2JYbIr/r6z8eD4iM13LNy8488LRHd0n&#10;FObUJ/YGEQZ2AO/JR0BGKeTXEGJDsIM/4ryK4YhZ/EWjy1+SxS7F43HxWF0Sk9OmpN3n25evtsX+&#10;6hEXMKb3ChzLPy2PM4+FwLpYLM4fYqLOBLwCclPrc0zC2Le+Y2kMpERkAZkz5ebzKnOf2Ja/NFo1&#10;Ye+UJheI36b0KPOnDhbZWdDkdF/XSxXKzBBtrF1A9d9Bc26GqTKTC3BS9MduS3bpCD4tQGc84O+6&#10;psuVqp7yr6onrVn2A3RjubtiBw1W8Wd+BHlyf1wX+ONT3X8HAAD//wMAUEsDBBQABgAIAAAAIQBt&#10;IAS94AAAAAsBAAAPAAAAZHJzL2Rvd25yZXYueG1sTI9BT4NAEIXvJv6HzZh4s4uUYkNZGlNjgp60&#10;euhxC1MgZWc37Bbw3zvGg95m3ry8902+nU0vRhx8Z0nB/SICgVTZuqNGwefH890ahA+aat1bQgVf&#10;6GFbXF/lOqvtRO847kMjOIR8phW0IbhMSl+1aLRfWIfEt5MdjA68Do2sBz1xuOllHEWpNLojbmi1&#10;w12L1Xl/MQqm8RQ3sdu9lG+vD4dzaV25fHJK3d7MjxsQAefwZ4YffEaHgpmO9kK1F72CJFkzelCw&#10;Slc8sONXOSpI42UCssjl/x+KbwAAAP//AwBQSwECLQAUAAYACAAAACEAtoM4kv4AAADhAQAAEwAA&#10;AAAAAAAAAAAAAAAAAAAAW0NvbnRlbnRfVHlwZXNdLnhtbFBLAQItABQABgAIAAAAIQA4/SH/1gAA&#10;AJQBAAALAAAAAAAAAAAAAAAAAC8BAABfcmVscy8ucmVsc1BLAQItABQABgAIAAAAIQDUf97s0gEA&#10;APIDAAAOAAAAAAAAAAAAAAAAAC4CAABkcnMvZTJvRG9jLnhtbFBLAQItABQABgAIAAAAIQBtIAS9&#10;4AAAAAsBAAAPAAAAAAAAAAAAAAAAACwEAABkcnMvZG93bnJldi54bWxQSwUGAAAAAAQABADzAAAA&#10;OQUAAAAA&#10;" strokecolor="black [3200]" strokeweight="2pt">
                <v:stroke endarrow="open"/>
                <v:shadow on="t" color="black" opacity="24903f" origin=",.5" offset="0,.55556mm"/>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86912" behindDoc="0" locked="0" layoutInCell="1" allowOverlap="1" wp14:anchorId="703A75E0" wp14:editId="0DC91354">
                <wp:simplePos x="0" y="0"/>
                <wp:positionH relativeFrom="column">
                  <wp:posOffset>297180</wp:posOffset>
                </wp:positionH>
                <wp:positionV relativeFrom="paragraph">
                  <wp:posOffset>5505450</wp:posOffset>
                </wp:positionV>
                <wp:extent cx="7620" cy="365760"/>
                <wp:effectExtent l="95250" t="19050" r="125730" b="91440"/>
                <wp:wrapNone/>
                <wp:docPr id="25" name="Straight Arrow Connector 25"/>
                <wp:cNvGraphicFramePr/>
                <a:graphic xmlns:a="http://schemas.openxmlformats.org/drawingml/2006/main">
                  <a:graphicData uri="http://schemas.microsoft.com/office/word/2010/wordprocessingShape">
                    <wps:wsp>
                      <wps:cNvCnPr/>
                      <wps:spPr>
                        <a:xfrm>
                          <a:off x="0" y="0"/>
                          <a:ext cx="7620" cy="3657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E8D814" id="Straight Arrow Connector 25" o:spid="_x0000_s1026" type="#_x0000_t32" style="position:absolute;margin-left:23.4pt;margin-top:433.5pt;width:.6pt;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6Bx1wEAAPUDAAAOAAAAZHJzL2Uyb0RvYy54bWysU02P0zAQvSPxHyzfadKg7aKo6Qp1gQuC&#10;ioUf4HXsxsL2WGPTpP+esdNmEV8HxGUS2/Nm3nseb+8mZ9lJYTTgO75e1ZwpL6E3/tjxL5/fvnjF&#10;WUzC98KCVx0/q8jvds+fbcfQqgYGsL1CRkV8bMfQ8SGl0FZVlINyIq4gKE+HGtCJREs8Vj2Kkao7&#10;WzV1valGwD4gSBUj7d7Ph3xX6mutZPqodVSJ2Y4Tt1QilviYY7XbivaIIgxGXmiIf2DhhPHUdCl1&#10;L5Jg39D8UsoZiRBBp5UEV4HWRqqigdSs65/UPAwiqKKFzIlhsSn+v7Lyw+mAzPQdb24488LRHT0k&#10;FOY4JPYaEUa2B+/JR0BGKeTXGGJLsL0/4GUVwwGz+Emjy1+Sxabi8XnxWE2JSdq83TR0D5IOXm5u&#10;bjflBqonaMCY3ilwLP90PF6oLBzWxWVxeh8TNSfgFZD7Wp9jEsa+8T1L50BiRNaQaVNuPq8y/Zlw&#10;+Utnq2bsJ6XJCKLYlB5lBNXeIjsJGp7+63qpQpkZoo21C6j+O+iSm2GqjOUCnBX9sduSXTqCTwvQ&#10;GQ/4u65pulLVc/5V9aw1y36E/lyur9hBs1X8ubyDPLw/rgv86bXuvgMAAP//AwBQSwMEFAAGAAgA&#10;AAAhABSRzs3fAAAACQEAAA8AAABkcnMvZG93bnJldi54bWxMj0FPg0AQhe8m/ofNmHizi0goRYbG&#10;1JigJ60eetzCFkjZ2Q27Bfz3jic9vUzey5vvFdvFDGLSo+8tIdyvIhCaatv01CJ8fb7cZSB8UNSo&#10;wZJG+NYetuX1VaHyxs70oad9aAWXkM8VQheCy6X0daeN8ivrNLF3sqNRgc+xlc2oZi43g4yjKJVG&#10;9cQfOuX0rtP1eX8xCPN0itvY7V6r97f14VxZVz08O8Tbm+XpEUTQS/gLwy8+o0PJTEd7ocaLASFJ&#10;mTwgZOmaN3EgyViPCJs4SUGWhfy/oPwBAAD//wMAUEsBAi0AFAAGAAgAAAAhALaDOJL+AAAA4QEA&#10;ABMAAAAAAAAAAAAAAAAAAAAAAFtDb250ZW50X1R5cGVzXS54bWxQSwECLQAUAAYACAAAACEAOP0h&#10;/9YAAACUAQAACwAAAAAAAAAAAAAAAAAvAQAAX3JlbHMvLnJlbHNQSwECLQAUAAYACAAAACEAbeeg&#10;cdcBAAD1AwAADgAAAAAAAAAAAAAAAAAuAgAAZHJzL2Uyb0RvYy54bWxQSwECLQAUAAYACAAAACEA&#10;FJHOzd8AAAAJAQAADwAAAAAAAAAAAAAAAAAxBAAAZHJzL2Rvd25yZXYueG1sUEsFBgAAAAAEAAQA&#10;8wAAAD0FAAAAAA==&#10;" strokecolor="black [3200]" strokeweight="2pt">
                <v:stroke endarrow="open"/>
                <v:shadow on="t" color="black" opacity="24903f" origin=",.5" offset="0,.55556mm"/>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87936" behindDoc="0" locked="0" layoutInCell="1" allowOverlap="1" wp14:anchorId="75F74837" wp14:editId="2A9A69DB">
                <wp:simplePos x="0" y="0"/>
                <wp:positionH relativeFrom="column">
                  <wp:posOffset>1996440</wp:posOffset>
                </wp:positionH>
                <wp:positionV relativeFrom="paragraph">
                  <wp:posOffset>7288530</wp:posOffset>
                </wp:positionV>
                <wp:extent cx="1676400" cy="510540"/>
                <wp:effectExtent l="38100" t="38100" r="57150" b="118110"/>
                <wp:wrapNone/>
                <wp:docPr id="26" name="Straight Arrow Connector 26"/>
                <wp:cNvGraphicFramePr/>
                <a:graphic xmlns:a="http://schemas.openxmlformats.org/drawingml/2006/main">
                  <a:graphicData uri="http://schemas.microsoft.com/office/word/2010/wordprocessingShape">
                    <wps:wsp>
                      <wps:cNvCnPr/>
                      <wps:spPr>
                        <a:xfrm>
                          <a:off x="0" y="0"/>
                          <a:ext cx="1676400" cy="5105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089390" id="Straight Arrow Connector 26" o:spid="_x0000_s1026" type="#_x0000_t32" style="position:absolute;margin-left:157.2pt;margin-top:573.9pt;width:132pt;height:4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TM2QEAAPgDAAAOAAAAZHJzL2Uyb0RvYy54bWysU02P0zAQvSPxHyzfaZJqt6Cq6Qp1gQuC&#10;ioUf4HXsxsL2WGPTNP+esZNmEV8HxGUS2/Nm3nse7+4uzrKzwmjAt7xZ1ZwpL6Ez/tTyL5/fvnjF&#10;WUzCd8KCVy0fVeR3++fPdkPYqjX0YDuFjIr4uB1Cy/uUwraqouyVE3EFQXk61IBOJFriqepQDFTd&#10;2Wpd15tqAOwCglQx0u79dMj3pb7WSqaPWkeVmG05cUslYomPOVb7ndieUITeyJmG+AcWThhPTZdS&#10;9yIJ9g3NL6WckQgRdFpJcBVobaQqGkhNU/+k5qEXQRUtZE4Mi03x/5WVH85HZKZr+XrDmReO7ugh&#10;oTCnPrHXiDCwA3hPPgIySiG/hhC3BDv4I86rGI6YxV80uvwlWexSPB4Xj9UlMUmbzebl5qamq5B0&#10;dtvUtzflEqondMCY3ilwLP+0PM5sFhpNMVqc38dE/Ql4BeTW1ueYhLFvfMfSGEiPyDIyc8rN51VW&#10;MHEuf2m0asJ+Upq8IJbr0qNMoTpYZGdB89N9bZYqlJkh2li7gOq/g+bcDFNlMhfgpOiP3Zbs0hF8&#10;WoDOeMDfdU2XK1U95V9VT1qz7EfoxnKDxQ4ar+LP/BTy/P64LvCnB7v/DgAA//8DAFBLAwQUAAYA&#10;CAAAACEACt20E+EAAAANAQAADwAAAGRycy9kb3ducmV2LnhtbEyPT0+DQBDF7yZ+h82YeLMLWxRC&#10;WRpTY4KeavXQ4xamQMr+CbsF/PaOJz3Oe7+8ea/YLnpgE46+t0ZCvIqAoalt05tWwtfn60MGzAdl&#10;GjVYgxK+0cO2vL0pVN7Y2XzgdAgtoxDjcyWhC8HlnPu6Q638yjo05J3tqFWgc2x5M6qZwvXARRQ9&#10;ca16Qx865XDXYX05XLWEeTqLVrjdW7V/T4+Xyrpq/eKkvL9bnjfAAi7hD4bf+lQdSup0slfTeDZI&#10;WMdJQigZcZLSCEIe04ykE0lCZAJ4WfD/K8ofAAAA//8DAFBLAQItABQABgAIAAAAIQC2gziS/gAA&#10;AOEBAAATAAAAAAAAAAAAAAAAAAAAAABbQ29udGVudF9UeXBlc10ueG1sUEsBAi0AFAAGAAgAAAAh&#10;ADj9If/WAAAAlAEAAAsAAAAAAAAAAAAAAAAALwEAAF9yZWxzLy5yZWxzUEsBAi0AFAAGAAgAAAAh&#10;AKfENMzZAQAA+AMAAA4AAAAAAAAAAAAAAAAALgIAAGRycy9lMm9Eb2MueG1sUEsBAi0AFAAGAAgA&#10;AAAhAArdtBPhAAAADQEAAA8AAAAAAAAAAAAAAAAAMwQAAGRycy9kb3ducmV2LnhtbFBLBQYAAAAA&#10;BAAEAPMAAABBBQAAAAA=&#10;" strokecolor="black [3200]" strokeweight="2pt">
                <v:stroke endarrow="open"/>
                <v:shadow on="t" color="black" opacity="24903f" origin=",.5" offset="0,.55556mm"/>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88960" behindDoc="0" locked="0" layoutInCell="1" allowOverlap="1" wp14:anchorId="00DBC46A" wp14:editId="0A0ABF6C">
                <wp:simplePos x="0" y="0"/>
                <wp:positionH relativeFrom="column">
                  <wp:posOffset>5097780</wp:posOffset>
                </wp:positionH>
                <wp:positionV relativeFrom="paragraph">
                  <wp:posOffset>3577590</wp:posOffset>
                </wp:positionV>
                <wp:extent cx="15240" cy="4114800"/>
                <wp:effectExtent l="95250" t="19050" r="80010" b="95250"/>
                <wp:wrapNone/>
                <wp:docPr id="27" name="Straight Arrow Connector 27"/>
                <wp:cNvGraphicFramePr/>
                <a:graphic xmlns:a="http://schemas.openxmlformats.org/drawingml/2006/main">
                  <a:graphicData uri="http://schemas.microsoft.com/office/word/2010/wordprocessingShape">
                    <wps:wsp>
                      <wps:cNvCnPr/>
                      <wps:spPr>
                        <a:xfrm>
                          <a:off x="0" y="0"/>
                          <a:ext cx="15240" cy="411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34497A" id="Straight Arrow Connector 27" o:spid="_x0000_s1026" type="#_x0000_t32" style="position:absolute;margin-left:401.4pt;margin-top:281.7pt;width:1.2pt;height:3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lM2AEAAPcDAAAOAAAAZHJzL2Uyb0RvYy54bWysU02P0zAQvSPxHyzfaZKqwKpqukJd4IKg&#10;YuEHeB27sbA91tg0yb9n7LTZFV8HxGUS2/Nm3nse725HZ9lZYTTgW96sas6Ul9AZf2r51y/vXtxw&#10;FpPwnbDgVcsnFfnt/vmz3RC2ag092E4hoyI+bofQ8j6lsK2qKHvlRFxBUJ4ONaATiZZ4qjoUA1V3&#10;tlrX9atqAOwCglQx0u7dfMj3pb7WSqZPWkeVmG05cUslYokPOVb7ndieUITeyAsN8Q8snDCemi6l&#10;7kQS7DuaX0o5IxEi6LSS4CrQ2khVNJCapv5JzX0vgipayJwYFpvi/ysrP56PyEzX8vVrzrxwdEf3&#10;CYU59Ym9QYSBHcB78hGQUQr5NYS4JdjBH/GyiuGIWfyo0eUvyWJj8XhaPFZjYpI2m5frDV2EpJNN&#10;02xu6nIH1SM4YEzvFTiWf1oeL2QWFk3xWZw/xETtCXgF5M7W55iEsW99x9IUSI7IKjJxys3nVRYw&#10;Uy5/abJqxn5WmqwgkuvSowyhOlhkZ0Hj031rliqUmSHaWLuA6r+DLrkZpspgLsBZ0R+7LdmlI/i0&#10;AJ3xgL/rmsYrVT3nX1XPWrPsB+imcoHFDpqu4s/lJeTxfbou8Mf3uv8BAAD//wMAUEsDBBQABgAI&#10;AAAAIQBlpDhF4gAAAAwBAAAPAAAAZHJzL2Rvd25yZXYueG1sTI/LTsMwEEX3SPyDNUjsqB33QRTi&#10;VKgIKbCC0kWXbjJNosZjK3aT8PeYFSxH9+jeM/l2Nj0bcfCdJQXJQgBDqmzdUaPg8PX6kALzQVOt&#10;e0uo4Bs9bIvbm1xntZ3oE8d9aFgsIZ9pBW0ILuPcVy0a7RfWIcXsbAejQzyHhteDnmK56bkUYsON&#10;7igutNrhrsXqsr8aBdN4lo10u7fy4/3xeCmtK5cvTqn7u/n5CVjAOfzB8Ksf1aGITid7pdqzXkEq&#10;ZFQPCtab5QpYJFKxlsBOEZVJsgJe5Pz/E8UPAAAA//8DAFBLAQItABQABgAIAAAAIQC2gziS/gAA&#10;AOEBAAATAAAAAAAAAAAAAAAAAAAAAABbQ29udGVudF9UeXBlc10ueG1sUEsBAi0AFAAGAAgAAAAh&#10;ADj9If/WAAAAlAEAAAsAAAAAAAAAAAAAAAAALwEAAF9yZWxzLy5yZWxzUEsBAi0AFAAGAAgAAAAh&#10;AButqUzYAQAA9wMAAA4AAAAAAAAAAAAAAAAALgIAAGRycy9lMm9Eb2MueG1sUEsBAi0AFAAGAAgA&#10;AAAhAGWkOEXiAAAADAEAAA8AAAAAAAAAAAAAAAAAMgQAAGRycy9kb3ducmV2LnhtbFBLBQYAAAAA&#10;BAAEAPMAAABBBQAAAAA=&#10;" strokecolor="black [3200]" strokeweight="2pt">
                <v:stroke endarrow="open"/>
                <v:shadow on="t" color="black" opacity="24903f" origin=",.5" offset="0,.55556mm"/>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89984" behindDoc="0" locked="0" layoutInCell="1" allowOverlap="1" wp14:anchorId="595E4C74" wp14:editId="11A7E8A8">
                <wp:simplePos x="0" y="0"/>
                <wp:positionH relativeFrom="column">
                  <wp:posOffset>289560</wp:posOffset>
                </wp:positionH>
                <wp:positionV relativeFrom="paragraph">
                  <wp:posOffset>1605280</wp:posOffset>
                </wp:positionV>
                <wp:extent cx="7620" cy="2369820"/>
                <wp:effectExtent l="114300" t="19050" r="87630" b="87630"/>
                <wp:wrapNone/>
                <wp:docPr id="28" name="Straight Arrow Connector 28"/>
                <wp:cNvGraphicFramePr/>
                <a:graphic xmlns:a="http://schemas.openxmlformats.org/drawingml/2006/main">
                  <a:graphicData uri="http://schemas.microsoft.com/office/word/2010/wordprocessingShape">
                    <wps:wsp>
                      <wps:cNvCnPr/>
                      <wps:spPr>
                        <a:xfrm flipH="1">
                          <a:off x="0" y="0"/>
                          <a:ext cx="7620" cy="23698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B22C7B" id="Straight Arrow Connector 28" o:spid="_x0000_s1026" type="#_x0000_t32" style="position:absolute;margin-left:22.8pt;margin-top:126.4pt;width:.6pt;height:186.6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Rg3AEAAAAEAAAOAAAAZHJzL2Uyb0RvYy54bWysU9uO0zAQfUfiHyy/07RBKkvUdIW6XB4Q&#10;VLvwAV7HbixsjzU2Tfr3jJ00IG4PiBfLlzln5pwZ725HZ9lZYTTgW75ZrTlTXkJn/Knlnz+9eXbD&#10;WUzCd8KCVy2/qMhv90+f7IbQqBp6sJ1CRiQ+NkNoeZ9SaKoqyl45EVcQlKdHDehEoiOeqg7FQOzO&#10;VvV6va0GwC4gSBUj3d5Nj3xf+LVWMn3UOqrEbMuptlRWLOtjXqv9TjQnFKE3ci5D/EMVThhPSReq&#10;O5EE+4rmFypnJEIEnVYSXAVaG6mKBlKzWf+k5qEXQRUtZE4Mi03x/9HKD+cjMtO1vKZOeeGoRw8J&#10;hTn1ib1ChIEdwHvyEZBRCPk1hNgQ7OCPOJ9iOGIWP2p0TFsT3tEoFDtIIBuL25fFbTUmJunyxbam&#10;jkh6qJ9vX97QgeiqiSWzBYzprQLH8qblca5qKWfKIM7vY5qAV0AGW5/XJIx97TuWLoF0iSxnTpLf&#10;q6xkqr3s0sWqCXuvNHlCNdZFRZlGdbDIzoLmqPuyWVgoMkO0sXYBrf8OmmMzTJUJXYCToj9mW6JL&#10;RvBpATrjAX+XNY3XUvUUf1U9ac2yH6G7lE4WO2jMShPmL5Hn+MdzgX//uPtvAAAA//8DAFBLAwQU&#10;AAYACAAAACEAphxZHuEAAAAJAQAADwAAAGRycy9kb3ducmV2LnhtbEyPUUvDMBDH3wW/QzjBl+FS&#10;wxpnbTpEGAiCsLoHH7Mma8uaS0nSrfv2nk/6dBz343+/f7mZ3cDONsTeo4LHZQbMYuNNj62C/df2&#10;YQ0sJo1GDx6tgquNsKlub0pdGH/BnT3XqWUUgrHQCrqUxoLz2HTW6bj0o0W6HX1wOtEaWm6CvlC4&#10;G7jIMsmd7pE+dHq0b51tTvXkFITF9vl03QmxOH6810/recr3359K3d/Nry/Akp3THwy/+qQOFTkd&#10;/IQmskHBKpdEKhC5oAoErCTNgwIpZAa8Kvn/BtUPAAAA//8DAFBLAQItABQABgAIAAAAIQC2gziS&#10;/gAAAOEBAAATAAAAAAAAAAAAAAAAAAAAAABbQ29udGVudF9UeXBlc10ueG1sUEsBAi0AFAAGAAgA&#10;AAAhADj9If/WAAAAlAEAAAsAAAAAAAAAAAAAAAAALwEAAF9yZWxzLy5yZWxzUEsBAi0AFAAGAAgA&#10;AAAhAM/cxGDcAQAAAAQAAA4AAAAAAAAAAAAAAAAALgIAAGRycy9lMm9Eb2MueG1sUEsBAi0AFAAG&#10;AAgAAAAhAKYcWR7hAAAACQEAAA8AAAAAAAAAAAAAAAAANgQAAGRycy9kb3ducmV2LnhtbFBLBQYA&#10;AAAABAAEAPMAAABEBQAAAAA=&#10;" strokecolor="black [3200]" strokeweight="2pt">
                <v:stroke endarrow="open"/>
                <v:shadow on="t" color="black" opacity="24903f" origin=",.5" offset="0,.55556mm"/>
              </v:shape>
            </w:pict>
          </mc:Fallback>
        </mc:AlternateContent>
      </w: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91008" behindDoc="0" locked="0" layoutInCell="1" allowOverlap="1" wp14:anchorId="71951D0A" wp14:editId="008808B1">
                <wp:simplePos x="0" y="0"/>
                <wp:positionH relativeFrom="column">
                  <wp:posOffset>2865120</wp:posOffset>
                </wp:positionH>
                <wp:positionV relativeFrom="paragraph">
                  <wp:posOffset>4814570</wp:posOffset>
                </wp:positionV>
                <wp:extent cx="7620" cy="434340"/>
                <wp:effectExtent l="95250" t="19050" r="87630" b="99060"/>
                <wp:wrapNone/>
                <wp:docPr id="29" name="Straight Arrow Connector 29"/>
                <wp:cNvGraphicFramePr/>
                <a:graphic xmlns:a="http://schemas.openxmlformats.org/drawingml/2006/main">
                  <a:graphicData uri="http://schemas.microsoft.com/office/word/2010/wordprocessingShape">
                    <wps:wsp>
                      <wps:cNvCnPr/>
                      <wps:spPr>
                        <a:xfrm>
                          <a:off x="0" y="0"/>
                          <a:ext cx="7620" cy="4343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6A4272" id="Straight Arrow Connector 29" o:spid="_x0000_s1026" type="#_x0000_t32" style="position:absolute;margin-left:225.6pt;margin-top:379.1pt;width:.6pt;height:3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wZ1wEAAPUDAAAOAAAAZHJzL2Uyb0RvYy54bWysU9uO0zAQfUfiHyy/06QFLRA1XaEu8IKg&#10;2mU/wOvYjYXtscamSf6esdNmEbA8IBTJ8WXOzDnH4+316Cw7KYwGfMvXq5oz5SV0xh9bfv/1w4s3&#10;nMUkfCcseNXySUV+vXv+bDuERm2gB9spZJTEx2YILe9TCk1VRdkrJ+IKgvJ0qAGdSLTEY9WhGCi7&#10;s9Wmrq+qAbALCFLFSLs38yHflfxaK5m+aB1VYrblxC2VEcv4kMdqtxXNEUXojTzTEP/AwgnjqeiS&#10;6kYkwb6j+S2VMxIhgk4rCa4CrY1URQOpWde/qLnrRVBFC5kTw2JT/H9p5efTAZnpWr55y5kXju7o&#10;LqEwxz6xd4gwsD14Tz4CMgohv4YQG4Lt/QHPqxgOmMWPGl3+kyw2Fo+nxWM1JiZp8/XVhu5B0sGr&#10;l/SVG6geoQFj+qjAsTxpeTxTWTisi8vi9CkmKk7ACyDXtT6PSRj73ncsTYHEiKwh06bYfF5l+jPh&#10;MkuTVTP2VmkygihuSo3SgmpvkZ0ENU/3bb1kocgM0cbaBVT/HXSOzTBV2nIBzoqerLZEl4rg0wJ0&#10;xgP+qWoaL1T1HH9RPWvNsh+gm8r1FTuot4o/53eQm/fndYE/vtbdDwAAAP//AwBQSwMEFAAGAAgA&#10;AAAhAFgUkVnhAAAACwEAAA8AAABkcnMvZG93bnJldi54bWxMj01Pg0AQhu8m/ofNmHizS1eghDI0&#10;psYEPWn10OMWpkDKfoTdAv5715PeZjJP3nneYreogU00ut5ohPUqAka6Nk2vW4Svz5eHDJjzUjdy&#10;MJoQvsnBrry9KWTemFl/0HTwLQsh2uUSofPe5py7uiMl3cpY0uF2NqOSPqxjy5tRziFcDVxEUcqV&#10;7HX40ElL+47qy+GqEObpLFph96/V+9vmeKmMrR6fLeL93fK0BeZp8X8w/OoHdSiD08lcdePYgBAn&#10;axFQhE2ShSEQcSJiYCeETKQp8LLg/zuUPwAAAP//AwBQSwECLQAUAAYACAAAACEAtoM4kv4AAADh&#10;AQAAEwAAAAAAAAAAAAAAAAAAAAAAW0NvbnRlbnRfVHlwZXNdLnhtbFBLAQItABQABgAIAAAAIQA4&#10;/SH/1gAAAJQBAAALAAAAAAAAAAAAAAAAAC8BAABfcmVscy8ucmVsc1BLAQItABQABgAIAAAAIQAL&#10;Q6wZ1wEAAPUDAAAOAAAAAAAAAAAAAAAAAC4CAABkcnMvZTJvRG9jLnhtbFBLAQItABQABgAIAAAA&#10;IQBYFJFZ4QAAAAsBAAAPAAAAAAAAAAAAAAAAADEEAABkcnMvZG93bnJldi54bWxQSwUGAAAAAAQA&#10;BADzAAAAPwUAAAAA&#10;" strokecolor="black [3200]" strokeweight="2pt">
                <v:stroke endarrow="open"/>
                <v:shadow on="t" color="black" opacity="24903f" origin=",.5" offset="0,.55556mm"/>
              </v:shape>
            </w:pict>
          </mc:Fallback>
        </mc:AlternateContent>
      </w:r>
    </w:p>
    <w:p w:rsidR="0043018E" w:rsidRPr="00F73C3A" w:rsidRDefault="0043018E" w:rsidP="0043018E">
      <w:pPr>
        <w:spacing w:after="240"/>
        <w:rPr>
          <w:rFonts w:ascii="Calibri" w:hAnsi="Calibri" w:cs="Arial"/>
          <w:color w:val="262626" w:themeColor="text1" w:themeTint="D9"/>
          <w:szCs w:val="20"/>
        </w:rPr>
      </w:pPr>
    </w:p>
    <w:p w:rsidR="0043018E" w:rsidRPr="00F73C3A" w:rsidRDefault="0043018E" w:rsidP="0043018E">
      <w:pPr>
        <w:spacing w:after="240"/>
        <w:rPr>
          <w:rFonts w:ascii="Calibri" w:hAnsi="Calibri" w:cs="Arial"/>
          <w:color w:val="262626" w:themeColor="text1" w:themeTint="D9"/>
          <w:szCs w:val="20"/>
        </w:rPr>
      </w:pPr>
    </w:p>
    <w:p w:rsidR="0043018E" w:rsidRPr="00F73C3A" w:rsidRDefault="0043018E" w:rsidP="0043018E">
      <w:pPr>
        <w:spacing w:after="240"/>
        <w:rPr>
          <w:rFonts w:ascii="Calibri" w:hAnsi="Calibri" w:cs="Arial"/>
          <w:color w:val="262626" w:themeColor="text1" w:themeTint="D9"/>
          <w:szCs w:val="20"/>
        </w:rPr>
      </w:pPr>
    </w:p>
    <w:p w:rsidR="0043018E" w:rsidRPr="00F73C3A" w:rsidRDefault="0043018E" w:rsidP="0043018E">
      <w:pPr>
        <w:spacing w:after="240"/>
        <w:rPr>
          <w:rFonts w:ascii="Calibri" w:hAnsi="Calibri" w:cs="Arial"/>
          <w:color w:val="262626" w:themeColor="text1" w:themeTint="D9"/>
          <w:szCs w:val="20"/>
        </w:rPr>
      </w:pPr>
    </w:p>
    <w:p w:rsidR="0043018E" w:rsidRPr="00F73C3A" w:rsidRDefault="0043018E" w:rsidP="0043018E">
      <w:pPr>
        <w:spacing w:after="240"/>
        <w:rPr>
          <w:rFonts w:ascii="Calibri" w:hAnsi="Calibri" w:cs="Arial"/>
          <w:color w:val="262626" w:themeColor="text1" w:themeTint="D9"/>
          <w:szCs w:val="20"/>
        </w:rPr>
      </w:pPr>
    </w:p>
    <w:p w:rsidR="0043018E" w:rsidRPr="00F73C3A" w:rsidRDefault="0043018E" w:rsidP="0043018E">
      <w:pPr>
        <w:spacing w:after="240"/>
        <w:rPr>
          <w:rFonts w:ascii="Calibri" w:hAnsi="Calibri" w:cs="Arial"/>
          <w:color w:val="262626" w:themeColor="text1" w:themeTint="D9"/>
          <w:szCs w:val="20"/>
        </w:rPr>
      </w:pPr>
    </w:p>
    <w:p w:rsidR="0043018E" w:rsidRPr="00F73C3A" w:rsidRDefault="0043018E" w:rsidP="0043018E">
      <w:pPr>
        <w:spacing w:after="240"/>
        <w:rPr>
          <w:rFonts w:ascii="Calibri" w:hAnsi="Calibri" w:cs="Arial"/>
          <w:color w:val="262626" w:themeColor="text1" w:themeTint="D9"/>
          <w:szCs w:val="20"/>
        </w:rPr>
      </w:pPr>
    </w:p>
    <w:p w:rsidR="0043018E" w:rsidRPr="00F73C3A" w:rsidRDefault="0043018E" w:rsidP="0043018E">
      <w:pPr>
        <w:spacing w:after="240"/>
        <w:rPr>
          <w:rFonts w:ascii="Calibri" w:hAnsi="Calibri" w:cs="Arial"/>
          <w:color w:val="262626" w:themeColor="text1" w:themeTint="D9"/>
          <w:szCs w:val="20"/>
        </w:rPr>
      </w:pPr>
    </w:p>
    <w:p w:rsidR="0043018E" w:rsidRPr="00F73C3A" w:rsidRDefault="0043018E" w:rsidP="0043018E">
      <w:pPr>
        <w:spacing w:after="240"/>
        <w:rPr>
          <w:rFonts w:ascii="Calibri" w:hAnsi="Calibri" w:cs="Arial"/>
          <w:color w:val="262626" w:themeColor="text1" w:themeTint="D9"/>
          <w:szCs w:val="20"/>
        </w:rPr>
      </w:pPr>
    </w:p>
    <w:p w:rsidR="0043018E" w:rsidRPr="00F73C3A" w:rsidRDefault="0043018E" w:rsidP="0043018E">
      <w:pPr>
        <w:spacing w:after="240"/>
        <w:rPr>
          <w:rFonts w:ascii="Calibri" w:hAnsi="Calibri" w:cs="Arial"/>
          <w:color w:val="262626" w:themeColor="text1" w:themeTint="D9"/>
          <w:szCs w:val="20"/>
        </w:rPr>
      </w:pPr>
    </w:p>
    <w:p w:rsidR="0043018E" w:rsidRPr="00F73C3A" w:rsidRDefault="0043018E" w:rsidP="0043018E">
      <w:pPr>
        <w:spacing w:after="240"/>
        <w:rPr>
          <w:rFonts w:ascii="Calibri" w:hAnsi="Calibri" w:cs="Arial"/>
          <w:color w:val="262626" w:themeColor="text1" w:themeTint="D9"/>
          <w:szCs w:val="20"/>
        </w:rPr>
      </w:pPr>
    </w:p>
    <w:p w:rsidR="0043018E" w:rsidRPr="00F73C3A" w:rsidRDefault="0043018E" w:rsidP="0043018E">
      <w:pPr>
        <w:spacing w:after="240"/>
        <w:rPr>
          <w:rFonts w:ascii="Calibri" w:hAnsi="Calibri" w:cs="Arial"/>
          <w:color w:val="262626" w:themeColor="text1" w:themeTint="D9"/>
          <w:szCs w:val="20"/>
        </w:rPr>
      </w:pPr>
    </w:p>
    <w:p w:rsidR="0043018E" w:rsidRPr="00F73C3A" w:rsidRDefault="0043018E" w:rsidP="0043018E">
      <w:pPr>
        <w:spacing w:after="240"/>
        <w:rPr>
          <w:rFonts w:ascii="Calibri" w:hAnsi="Calibri" w:cs="Arial"/>
          <w:color w:val="262626" w:themeColor="text1" w:themeTint="D9"/>
          <w:szCs w:val="20"/>
        </w:rPr>
      </w:pPr>
    </w:p>
    <w:p w:rsidR="0043018E" w:rsidRPr="00F73C3A" w:rsidRDefault="0043018E" w:rsidP="0043018E">
      <w:pPr>
        <w:spacing w:after="240"/>
        <w:rPr>
          <w:rFonts w:ascii="Calibri" w:hAnsi="Calibri" w:cs="Arial"/>
          <w:color w:val="262626" w:themeColor="text1" w:themeTint="D9"/>
          <w:szCs w:val="20"/>
        </w:rPr>
      </w:pPr>
    </w:p>
    <w:p w:rsidR="0043018E" w:rsidRPr="00F73C3A" w:rsidRDefault="0043018E" w:rsidP="0043018E">
      <w:pPr>
        <w:spacing w:after="240"/>
        <w:rPr>
          <w:rFonts w:ascii="Calibri" w:hAnsi="Calibri" w:cs="Arial"/>
          <w:color w:val="262626" w:themeColor="text1" w:themeTint="D9"/>
          <w:szCs w:val="20"/>
        </w:rPr>
      </w:pPr>
    </w:p>
    <w:p w:rsidR="0043018E" w:rsidRPr="00F73C3A" w:rsidRDefault="0043018E" w:rsidP="0043018E">
      <w:pPr>
        <w:spacing w:after="240"/>
        <w:rPr>
          <w:rFonts w:ascii="Calibri" w:hAnsi="Calibri" w:cs="Arial"/>
          <w:color w:val="262626" w:themeColor="text1" w:themeTint="D9"/>
          <w:szCs w:val="20"/>
        </w:rPr>
      </w:pPr>
    </w:p>
    <w:p w:rsidR="0043018E" w:rsidRPr="00F73C3A" w:rsidRDefault="0043018E" w:rsidP="0043018E">
      <w:pPr>
        <w:spacing w:after="240"/>
        <w:rPr>
          <w:rFonts w:ascii="Calibri" w:hAnsi="Calibri" w:cs="Arial"/>
          <w:color w:val="262626" w:themeColor="text1" w:themeTint="D9"/>
          <w:szCs w:val="20"/>
        </w:rPr>
      </w:pPr>
    </w:p>
    <w:p w:rsidR="0043018E" w:rsidRPr="00F73C3A" w:rsidRDefault="0043018E" w:rsidP="0043018E">
      <w:pPr>
        <w:spacing w:after="240"/>
        <w:rPr>
          <w:rFonts w:ascii="Calibri" w:hAnsi="Calibri" w:cs="Arial"/>
          <w:color w:val="262626" w:themeColor="text1" w:themeTint="D9"/>
          <w:szCs w:val="20"/>
        </w:rPr>
      </w:pPr>
    </w:p>
    <w:p w:rsidR="0043018E" w:rsidRPr="00F73C3A" w:rsidRDefault="009A69DE" w:rsidP="0043018E">
      <w:pPr>
        <w:spacing w:after="240"/>
        <w:rPr>
          <w:rFonts w:ascii="Calibri" w:hAnsi="Calibri" w:cs="Arial"/>
          <w:color w:val="262626" w:themeColor="text1" w:themeTint="D9"/>
          <w:szCs w:val="20"/>
        </w:rPr>
      </w:pP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67456" behindDoc="0" locked="0" layoutInCell="1" allowOverlap="1" wp14:anchorId="7DC20BBF" wp14:editId="184986FE">
                <wp:simplePos x="0" y="0"/>
                <wp:positionH relativeFrom="column">
                  <wp:posOffset>3810</wp:posOffset>
                </wp:positionH>
                <wp:positionV relativeFrom="paragraph">
                  <wp:posOffset>22225</wp:posOffset>
                </wp:positionV>
                <wp:extent cx="2941320" cy="800100"/>
                <wp:effectExtent l="0" t="0" r="1143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800100"/>
                        </a:xfrm>
                        <a:prstGeom prst="rect">
                          <a:avLst/>
                        </a:prstGeom>
                        <a:solidFill>
                          <a:srgbClr val="FFFFFF"/>
                        </a:solidFill>
                        <a:ln w="9525">
                          <a:solidFill>
                            <a:srgbClr val="000000"/>
                          </a:solidFill>
                          <a:miter lim="800000"/>
                          <a:headEnd/>
                          <a:tailEnd/>
                        </a:ln>
                      </wps:spPr>
                      <wps:txbx>
                        <w:txbxContent>
                          <w:p w:rsidR="00F73C3A" w:rsidRPr="009A69DE" w:rsidRDefault="00F73C3A" w:rsidP="009A69DE">
                            <w:pPr>
                              <w:rPr>
                                <w:rFonts w:ascii="Verdana" w:hAnsi="Verdana"/>
                                <w:color w:val="595959" w:themeColor="text1" w:themeTint="A6"/>
                                <w:sz w:val="22"/>
                              </w:rPr>
                            </w:pPr>
                            <w:r w:rsidRPr="009A69DE">
                              <w:rPr>
                                <w:rFonts w:ascii="Verdana" w:hAnsi="Verdana" w:cs="Arial"/>
                                <w:color w:val="595959" w:themeColor="text1" w:themeTint="A6"/>
                                <w:sz w:val="22"/>
                              </w:rPr>
                              <w:t>Is the total regional</w:t>
                            </w:r>
                            <w:r>
                              <w:rPr>
                                <w:rFonts w:ascii="Verdana" w:hAnsi="Verdana" w:cs="Arial"/>
                                <w:color w:val="595959" w:themeColor="text1" w:themeTint="A6"/>
                                <w:sz w:val="22"/>
                              </w:rPr>
                              <w:t xml:space="preserve"> aid granted to the beneficiary in the same NUTS3 area in the past 3 years </w:t>
                            </w:r>
                            <w:r w:rsidRPr="009A69DE">
                              <w:rPr>
                                <w:rFonts w:ascii="Verdana" w:hAnsi="Verdana" w:cs="Arial"/>
                                <w:color w:val="595959" w:themeColor="text1" w:themeTint="A6"/>
                                <w:sz w:val="22"/>
                              </w:rPr>
                              <w:t>more than €7.5million?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20BBF" id="Text Box 31" o:spid="_x0000_s1038" type="#_x0000_t202" style="position:absolute;left:0;text-align:left;margin-left:.3pt;margin-top:1.75pt;width:231.6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KQIAAE4EAAAOAAAAZHJzL2Uyb0RvYy54bWysVNuO2yAQfa/Uf0C8N75s0m6sOKtttqkq&#10;bS/Sbj8AYxyjAkOBxN5+fQecpOntpaofEMMMh5lzZry6GbUiB+G8BFPTYpZTIgyHVppdTT8/bl9c&#10;U+IDMy1TYERNn4SnN+vnz1aDrUQJPahWOIIgxleDrWkfgq2yzPNeaOZnYIVBZwdOs4Cm22WtYwOi&#10;a5WVef4yG8C11gEX3uPp3eSk64TfdYKHj13nRSCqpphbSKtLaxPXbL1i1c4x20t+TIP9QxaaSYOP&#10;nqHuWGBk7+RvUFpyBx66MOOgM+g6yUWqAasp8l+qeeiZFakWJMfbM03+/8HyD4dPjsi2plcFJYZp&#10;1OhRjIG8hpHgEfIzWF9h2IPFwDDiOeqcavX2HvgXTwxsemZ24tY5GHrBWswv3cwurk44PoI0w3to&#10;8R22D5CAxs7pSB7SQRAddXo6axNz4XhYLufFVYkujr7rHMlK4mWsOt22zoe3AjSJm5o61D6hs8O9&#10;D1gHhp5C4mMelGy3UqlkuF2zUY4cGPbJNn2xdLzyU5gyZKjpclEuJgL+CpGn708QWgZseCV1qgLD&#10;phaMtL0xbWrHwKSa9vi+MphG5DFSN5EYxmZMkhXlSZ8G2idk1sHU4DiQuOnBfaNkwOauqf+6Z05Q&#10;ot4ZVGdZzOdxGpIxX7yKvLpLT3PpYYYjVE0DJdN2E9IEReIM3KKKnUwExzSnTI45Y9MmEo8DFqfi&#10;0k5RP34D6+8AAAD//wMAUEsDBBQABgAIAAAAIQDNHXst3AAAAAYBAAAPAAAAZHJzL2Rvd25yZXYu&#10;eG1sTI/BTsMwEETvSPyDtUhcEHVo2tCGOBVCAsENCoKrG2+TCHsdbDcNf89yguNqnmbeVpvJWTFi&#10;iL0nBVezDARS401PrYK31/vLFYiYNBltPaGCb4ywqU9PKl0af6QXHLepFVxCsdQKupSGUsrYdOh0&#10;nPkBibO9D04nPkMrTdBHLndWzrOskE73xAudHvCuw+Zze3AKVovH8SM+5c/vTbG363RxPT58BaXO&#10;z6bbGxAJp/QHw68+q0PNTjt/IBOFVVAwpyBfguBwUeT8x46p+XoJsq7kf/36BwAA//8DAFBLAQIt&#10;ABQABgAIAAAAIQC2gziS/gAAAOEBAAATAAAAAAAAAAAAAAAAAAAAAABbQ29udGVudF9UeXBlc10u&#10;eG1sUEsBAi0AFAAGAAgAAAAhADj9If/WAAAAlAEAAAsAAAAAAAAAAAAAAAAALwEAAF9yZWxzLy5y&#10;ZWxzUEsBAi0AFAAGAAgAAAAhAH6D5xMpAgAATgQAAA4AAAAAAAAAAAAAAAAALgIAAGRycy9lMm9E&#10;b2MueG1sUEsBAi0AFAAGAAgAAAAhAM0dey3cAAAABgEAAA8AAAAAAAAAAAAAAAAAgwQAAGRycy9k&#10;b3ducmV2LnhtbFBLBQYAAAAABAAEAPMAAACMBQAAAAA=&#10;">
                <v:textbox>
                  <w:txbxContent>
                    <w:p w:rsidR="00F73C3A" w:rsidRPr="009A69DE" w:rsidRDefault="00F73C3A" w:rsidP="009A69DE">
                      <w:pPr>
                        <w:rPr>
                          <w:rFonts w:ascii="Verdana" w:hAnsi="Verdana"/>
                          <w:color w:val="595959" w:themeColor="text1" w:themeTint="A6"/>
                          <w:sz w:val="22"/>
                        </w:rPr>
                      </w:pPr>
                      <w:r w:rsidRPr="009A69DE">
                        <w:rPr>
                          <w:rFonts w:ascii="Verdana" w:hAnsi="Verdana" w:cs="Arial"/>
                          <w:color w:val="595959" w:themeColor="text1" w:themeTint="A6"/>
                          <w:sz w:val="22"/>
                        </w:rPr>
                        <w:t>Is the total regional</w:t>
                      </w:r>
                      <w:r>
                        <w:rPr>
                          <w:rFonts w:ascii="Verdana" w:hAnsi="Verdana" w:cs="Arial"/>
                          <w:color w:val="595959" w:themeColor="text1" w:themeTint="A6"/>
                          <w:sz w:val="22"/>
                        </w:rPr>
                        <w:t xml:space="preserve"> aid granted to the beneficiary in the same NUTS3 area in the past 3 years </w:t>
                      </w:r>
                      <w:r w:rsidRPr="009A69DE">
                        <w:rPr>
                          <w:rFonts w:ascii="Verdana" w:hAnsi="Verdana" w:cs="Arial"/>
                          <w:color w:val="595959" w:themeColor="text1" w:themeTint="A6"/>
                          <w:sz w:val="22"/>
                        </w:rPr>
                        <w:t>more than €7.5million?</w:t>
                      </w:r>
                    </w:p>
                  </w:txbxContent>
                </v:textbox>
              </v:shape>
            </w:pict>
          </mc:Fallback>
        </mc:AlternateContent>
      </w:r>
    </w:p>
    <w:p w:rsidR="0043018E" w:rsidRPr="00F73C3A" w:rsidRDefault="0043018E" w:rsidP="0043018E">
      <w:pPr>
        <w:spacing w:after="240"/>
        <w:rPr>
          <w:rFonts w:ascii="Calibri" w:hAnsi="Calibri" w:cs="Arial"/>
          <w:color w:val="262626" w:themeColor="text1" w:themeTint="D9"/>
          <w:szCs w:val="20"/>
        </w:rPr>
      </w:pPr>
    </w:p>
    <w:p w:rsidR="0043018E" w:rsidRPr="00F73C3A" w:rsidRDefault="0043018E" w:rsidP="0043018E">
      <w:pPr>
        <w:spacing w:after="240"/>
        <w:rPr>
          <w:rFonts w:ascii="Calibri" w:hAnsi="Calibri" w:cs="Arial"/>
          <w:color w:val="262626" w:themeColor="text1" w:themeTint="D9"/>
          <w:szCs w:val="20"/>
        </w:rPr>
      </w:pPr>
    </w:p>
    <w:p w:rsidR="0043018E" w:rsidRPr="00F73C3A" w:rsidRDefault="0043018E" w:rsidP="0043018E">
      <w:pPr>
        <w:spacing w:after="240"/>
        <w:rPr>
          <w:rFonts w:ascii="Calibri" w:hAnsi="Calibri" w:cs="Arial"/>
          <w:color w:val="262626" w:themeColor="text1" w:themeTint="D9"/>
          <w:szCs w:val="20"/>
        </w:rPr>
      </w:pPr>
    </w:p>
    <w:p w:rsidR="0043018E" w:rsidRPr="00F73C3A" w:rsidRDefault="0043018E" w:rsidP="0043018E">
      <w:pPr>
        <w:rPr>
          <w:rFonts w:ascii="Calibri" w:hAnsi="Calibri"/>
          <w:color w:val="262626" w:themeColor="text1" w:themeTint="D9"/>
          <w:szCs w:val="20"/>
        </w:rPr>
      </w:pPr>
    </w:p>
    <w:p w:rsidR="000011CF" w:rsidRPr="00F73C3A" w:rsidRDefault="0043018E">
      <w:pPr>
        <w:rPr>
          <w:rFonts w:ascii="Calibri" w:hAnsi="Calibri"/>
          <w:color w:val="262626" w:themeColor="text1" w:themeTint="D9"/>
          <w:szCs w:val="20"/>
        </w:rPr>
      </w:pPr>
      <w:r w:rsidRPr="00F73C3A">
        <w:rPr>
          <w:rFonts w:ascii="Calibri" w:hAnsi="Calibri"/>
          <w:noProof/>
          <w:color w:val="262626" w:themeColor="text1" w:themeTint="D9"/>
          <w:szCs w:val="20"/>
          <w:lang w:eastAsia="en-GB"/>
        </w:rPr>
        <mc:AlternateContent>
          <mc:Choice Requires="wps">
            <w:drawing>
              <wp:anchor distT="0" distB="0" distL="114300" distR="114300" simplePos="0" relativeHeight="251673600" behindDoc="0" locked="0" layoutInCell="1" allowOverlap="1" wp14:anchorId="57CC6CCE" wp14:editId="5876ECF5">
                <wp:simplePos x="0" y="0"/>
                <wp:positionH relativeFrom="column">
                  <wp:posOffset>3670934</wp:posOffset>
                </wp:positionH>
                <wp:positionV relativeFrom="paragraph">
                  <wp:posOffset>565150</wp:posOffset>
                </wp:positionV>
                <wp:extent cx="1990725" cy="531495"/>
                <wp:effectExtent l="0" t="0" r="28575" b="209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1495"/>
                        </a:xfrm>
                        <a:prstGeom prst="rect">
                          <a:avLst/>
                        </a:prstGeom>
                        <a:solidFill>
                          <a:srgbClr val="FFFFFF"/>
                        </a:solidFill>
                        <a:ln w="9525">
                          <a:solidFill>
                            <a:srgbClr val="000000"/>
                          </a:solidFill>
                          <a:miter lim="800000"/>
                          <a:headEnd/>
                          <a:tailEnd/>
                        </a:ln>
                      </wps:spPr>
                      <wps:txbx>
                        <w:txbxContent>
                          <w:p w:rsidR="00F73C3A" w:rsidRPr="009A69DE" w:rsidRDefault="00F73C3A" w:rsidP="0043018E">
                            <w:pPr>
                              <w:rPr>
                                <w:rFonts w:ascii="Verdana" w:hAnsi="Verdana" w:cs="Arial"/>
                                <w:b/>
                                <w:color w:val="595959" w:themeColor="text1" w:themeTint="A6"/>
                                <w:sz w:val="22"/>
                              </w:rPr>
                            </w:pPr>
                            <w:r w:rsidRPr="009A69DE">
                              <w:rPr>
                                <w:rFonts w:ascii="Verdana" w:hAnsi="Verdana" w:cs="Arial"/>
                                <w:b/>
                                <w:color w:val="595959" w:themeColor="text1" w:themeTint="A6"/>
                                <w:sz w:val="22"/>
                              </w:rPr>
                              <w:t xml:space="preserve">Aid must be notified to Commission </w:t>
                            </w:r>
                          </w:p>
                          <w:p w:rsidR="00F73C3A" w:rsidRPr="009A69DE" w:rsidRDefault="00F73C3A" w:rsidP="0043018E">
                            <w:pPr>
                              <w:rPr>
                                <w:rFonts w:ascii="Verdana" w:hAnsi="Verdana" w:cs="Arial"/>
                                <w:color w:val="595959" w:themeColor="text1" w:themeTint="A6"/>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C6CCE" id="Text Box 12" o:spid="_x0000_s1039" type="#_x0000_t202" style="position:absolute;left:0;text-align:left;margin-left:289.05pt;margin-top:44.5pt;width:156.75pt;height:4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u/JQIAAE4EAAAOAAAAZHJzL2Uyb0RvYy54bWysVNtu2zAMfR+wfxD0vthJk7Ux4hRdugwD&#10;ugvQ7gNoWY6FSaInKbG7rx8lp2l2wR6G+UEQJerw8JD06nowmh2k8wptyaeTnDNpBdbK7kr+5WH7&#10;6oozH8DWoNHKkj9Kz6/XL1+s+q6QM2xR19IxArG+6LuStyF0RZZ50UoDfoKdtHTZoDMQyHS7rHbQ&#10;E7rR2SzPX2c9urpzKKT3dHo7XvJ1wm8aKcKnpvEyMF1y4hbS6tJaxTVbr6DYOehaJY404B9YGFCW&#10;gp6gbiEA2zv1G5RRwqHHJkwEmgybRgmZcqBspvkv2dy30MmUC4nju5NM/v/Bio+Hz46pmmo348yC&#10;oRo9yCGwNzgwOiJ9+s4X5HbfkWMY6Jx8U66+u0Px1TOLmxbsTt44h30roSZ+0/gyO3s64vgIUvUf&#10;sKY4sA+YgIbGmSgeycEIner0eKpN5CJiyOUyv5wtOBN0t7iYzpeLFAKKp9ed8+GdRMPipuSOap/Q&#10;4XDnQ2QDxZNLDOZRq3qrtE6G21Ub7dgBqE+26Tui/+SmLetLvlwQj79D5On7E4RRgRpeK1Pyq5MT&#10;FFG2t7ZO7RhA6XFPlLU96hilG0UMQzWMJbuIEaLIFdaPpKzDscFpIGnTovvOWU/NXXL/bQ9Ocqbf&#10;W6rOcjqfx2lIxnxxOSPDnd9U5zdgBUGVPHA2bjchTVCUwOINVbFRSeBnJkfO1LRJ9+OAxak4t5PX&#10;829g/QMAAP//AwBQSwMEFAAGAAgAAAAhAIE626bfAAAACgEAAA8AAABkcnMvZG93bnJldi54bWxM&#10;j8tOwzAQRfdI/IM1SGxQ66RAXsSpEBKI7qBFsHVjN4mwx8F20/D3DCtYjubo3Hvr9WwNm7QPg0MB&#10;6TIBprF1asBOwNvucVEAC1GiksahFvCtA6yb87NaVsqd8FVP29gxkmCopIA+xrHiPLS9tjIs3aiR&#10;fgfnrYx0+o4rL08kt4avkiTjVg5ICb0c9UOv28/t0Qoobp6nj7C5fnlvs4Mp41U+PX15IS4v5vs7&#10;YFHP8Q+G3/pUHRrqtHdHVIEZAbd5kRJKspI2EVCUaQZsT2S+yoE3Nf8/ofkBAAD//wMAUEsBAi0A&#10;FAAGAAgAAAAhALaDOJL+AAAA4QEAABMAAAAAAAAAAAAAAAAAAAAAAFtDb250ZW50X1R5cGVzXS54&#10;bWxQSwECLQAUAAYACAAAACEAOP0h/9YAAACUAQAACwAAAAAAAAAAAAAAAAAvAQAAX3JlbHMvLnJl&#10;bHNQSwECLQAUAAYACAAAACEA3bJbvyUCAABOBAAADgAAAAAAAAAAAAAAAAAuAgAAZHJzL2Uyb0Rv&#10;Yy54bWxQSwECLQAUAAYACAAAACEAgTrbpt8AAAAKAQAADwAAAAAAAAAAAAAAAAB/BAAAZHJzL2Rv&#10;d25yZXYueG1sUEsFBgAAAAAEAAQA8wAAAIsFAAAAAA==&#10;">
                <v:textbox>
                  <w:txbxContent>
                    <w:p w:rsidR="00F73C3A" w:rsidRPr="009A69DE" w:rsidRDefault="00F73C3A" w:rsidP="0043018E">
                      <w:pPr>
                        <w:rPr>
                          <w:rFonts w:ascii="Verdana" w:hAnsi="Verdana" w:cs="Arial"/>
                          <w:b/>
                          <w:color w:val="595959" w:themeColor="text1" w:themeTint="A6"/>
                          <w:sz w:val="22"/>
                        </w:rPr>
                      </w:pPr>
                      <w:r w:rsidRPr="009A69DE">
                        <w:rPr>
                          <w:rFonts w:ascii="Verdana" w:hAnsi="Verdana" w:cs="Arial"/>
                          <w:b/>
                          <w:color w:val="595959" w:themeColor="text1" w:themeTint="A6"/>
                          <w:sz w:val="22"/>
                        </w:rPr>
                        <w:t xml:space="preserve">Aid must be notified to Commission </w:t>
                      </w:r>
                    </w:p>
                    <w:p w:rsidR="00F73C3A" w:rsidRPr="009A69DE" w:rsidRDefault="00F73C3A" w:rsidP="0043018E">
                      <w:pPr>
                        <w:rPr>
                          <w:rFonts w:ascii="Verdana" w:hAnsi="Verdana" w:cs="Arial"/>
                          <w:color w:val="595959" w:themeColor="text1" w:themeTint="A6"/>
                          <w:sz w:val="22"/>
                        </w:rPr>
                      </w:pPr>
                    </w:p>
                  </w:txbxContent>
                </v:textbox>
              </v:shape>
            </w:pict>
          </mc:Fallback>
        </mc:AlternateContent>
      </w:r>
    </w:p>
    <w:sectPr w:rsidR="000011CF" w:rsidRPr="00F73C3A" w:rsidSect="00081966">
      <w:pgSz w:w="11906" w:h="16838" w:code="9"/>
      <w:pgMar w:top="1701" w:right="1134" w:bottom="1134" w:left="1134"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789" w:rsidRDefault="00AA2789" w:rsidP="00A400E5">
      <w:r>
        <w:separator/>
      </w:r>
    </w:p>
  </w:endnote>
  <w:endnote w:type="continuationSeparator" w:id="0">
    <w:p w:rsidR="00AA2789" w:rsidRDefault="00AA2789" w:rsidP="00A4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45 Light">
    <w:altName w:val="Agency F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120941"/>
      <w:docPartObj>
        <w:docPartGallery w:val="Page Numbers (Bottom of Page)"/>
        <w:docPartUnique/>
      </w:docPartObj>
    </w:sdtPr>
    <w:sdtEndPr>
      <w:rPr>
        <w:rFonts w:ascii="Calibri" w:hAnsi="Calibri"/>
        <w:noProof/>
        <w:color w:val="595959" w:themeColor="text1" w:themeTint="A6"/>
        <w:sz w:val="18"/>
        <w:szCs w:val="18"/>
      </w:rPr>
    </w:sdtEndPr>
    <w:sdtContent>
      <w:p w:rsidR="00F73C3A" w:rsidRPr="004F4EE7" w:rsidRDefault="00F73C3A">
        <w:pPr>
          <w:pStyle w:val="Footer"/>
          <w:jc w:val="right"/>
          <w:rPr>
            <w:rFonts w:ascii="Calibri" w:hAnsi="Calibri"/>
            <w:noProof/>
            <w:color w:val="595959" w:themeColor="text1" w:themeTint="A6"/>
            <w:sz w:val="18"/>
            <w:szCs w:val="18"/>
          </w:rPr>
        </w:pPr>
        <w:r w:rsidRPr="004F4EE7">
          <w:rPr>
            <w:rFonts w:ascii="Calibri" w:hAnsi="Calibri"/>
            <w:color w:val="595959" w:themeColor="text1" w:themeTint="A6"/>
            <w:sz w:val="18"/>
            <w:szCs w:val="18"/>
          </w:rPr>
          <w:fldChar w:fldCharType="begin"/>
        </w:r>
        <w:r w:rsidRPr="004F4EE7">
          <w:rPr>
            <w:rFonts w:ascii="Calibri" w:hAnsi="Calibri"/>
            <w:color w:val="595959" w:themeColor="text1" w:themeTint="A6"/>
            <w:sz w:val="18"/>
            <w:szCs w:val="18"/>
          </w:rPr>
          <w:instrText xml:space="preserve"> PAGE   \* MERGEFORMAT </w:instrText>
        </w:r>
        <w:r w:rsidRPr="004F4EE7">
          <w:rPr>
            <w:rFonts w:ascii="Calibri" w:hAnsi="Calibri"/>
            <w:color w:val="595959" w:themeColor="text1" w:themeTint="A6"/>
            <w:sz w:val="18"/>
            <w:szCs w:val="18"/>
          </w:rPr>
          <w:fldChar w:fldCharType="separate"/>
        </w:r>
        <w:r w:rsidR="00474C6D">
          <w:rPr>
            <w:rFonts w:ascii="Calibri" w:hAnsi="Calibri"/>
            <w:noProof/>
            <w:color w:val="595959" w:themeColor="text1" w:themeTint="A6"/>
            <w:sz w:val="18"/>
            <w:szCs w:val="18"/>
          </w:rPr>
          <w:t>2</w:t>
        </w:r>
        <w:r w:rsidRPr="004F4EE7">
          <w:rPr>
            <w:rFonts w:ascii="Calibri" w:hAnsi="Calibri"/>
            <w:noProof/>
            <w:color w:val="595959" w:themeColor="text1" w:themeTint="A6"/>
            <w:sz w:val="18"/>
            <w:szCs w:val="18"/>
          </w:rPr>
          <w:fldChar w:fldCharType="end"/>
        </w:r>
      </w:p>
      <w:p w:rsidR="00F73C3A" w:rsidRPr="004F4EE7" w:rsidRDefault="00F73C3A" w:rsidP="004F4EE7">
        <w:pPr>
          <w:pStyle w:val="Footer"/>
          <w:rPr>
            <w:rFonts w:ascii="Calibri" w:hAnsi="Calibri"/>
            <w:color w:val="595959" w:themeColor="text1" w:themeTint="A6"/>
            <w:sz w:val="18"/>
            <w:szCs w:val="18"/>
          </w:rPr>
        </w:pPr>
        <w:r w:rsidRPr="004F4EE7">
          <w:rPr>
            <w:rFonts w:ascii="Calibri" w:hAnsi="Calibri"/>
            <w:noProof/>
            <w:color w:val="595959" w:themeColor="text1" w:themeTint="A6"/>
            <w:sz w:val="18"/>
            <w:szCs w:val="18"/>
          </w:rPr>
          <w:t>Annex A CGF Scheme Guidelines/Appraisal Manual V1 May 2015</w:t>
        </w:r>
      </w:p>
    </w:sdtContent>
  </w:sdt>
  <w:p w:rsidR="00F73C3A" w:rsidRDefault="00F73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789" w:rsidRDefault="00AA2789" w:rsidP="00A400E5">
      <w:r>
        <w:separator/>
      </w:r>
    </w:p>
  </w:footnote>
  <w:footnote w:type="continuationSeparator" w:id="0">
    <w:p w:rsidR="00AA2789" w:rsidRDefault="00AA2789" w:rsidP="00A400E5">
      <w:r>
        <w:continuationSeparator/>
      </w:r>
    </w:p>
  </w:footnote>
  <w:footnote w:id="1">
    <w:p w:rsidR="00F73C3A" w:rsidRPr="00B96E7A" w:rsidRDefault="00F73C3A">
      <w:pPr>
        <w:pStyle w:val="FootnoteText"/>
        <w:rPr>
          <w:rFonts w:asciiTheme="majorHAnsi" w:hAnsiTheme="majorHAnsi" w:cstheme="majorHAnsi"/>
          <w:color w:val="595959" w:themeColor="text1" w:themeTint="A6"/>
          <w:sz w:val="18"/>
          <w:szCs w:val="18"/>
        </w:rPr>
      </w:pPr>
      <w:r w:rsidRPr="00B96E7A">
        <w:rPr>
          <w:rStyle w:val="FootnoteReference"/>
          <w:rFonts w:asciiTheme="majorHAnsi" w:hAnsiTheme="majorHAnsi" w:cstheme="majorHAnsi"/>
          <w:color w:val="595959" w:themeColor="text1" w:themeTint="A6"/>
          <w:sz w:val="18"/>
          <w:szCs w:val="18"/>
        </w:rPr>
        <w:footnoteRef/>
      </w:r>
      <w:r w:rsidRPr="00B96E7A">
        <w:rPr>
          <w:rFonts w:asciiTheme="majorHAnsi" w:hAnsiTheme="majorHAnsi" w:cstheme="majorHAnsi"/>
          <w:color w:val="595959" w:themeColor="text1" w:themeTint="A6"/>
          <w:sz w:val="18"/>
          <w:szCs w:val="18"/>
        </w:rPr>
        <w:t xml:space="preserve"> Basic research is defined as original theoretical or experimental work to achieve a new or better understanding of the laws of science, engineering and technology as they might apply to the full project. This may involve the creation of an early “bench top” experimental model.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18"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6805"/>
      <w:gridCol w:w="2833"/>
    </w:tblGrid>
    <w:tr w:rsidR="00F73C3A" w:rsidTr="00081966">
      <w:tc>
        <w:tcPr>
          <w:tcW w:w="6912" w:type="dxa"/>
        </w:tcPr>
        <w:p w:rsidR="00F73C3A" w:rsidRPr="00A10EBD" w:rsidRDefault="00F73C3A" w:rsidP="00E32B13">
          <w:pPr>
            <w:pStyle w:val="Header"/>
            <w:spacing w:before="120" w:after="120"/>
            <w:rPr>
              <w:b/>
              <w:color w:val="595959" w:themeColor="text1" w:themeTint="A6"/>
              <w:sz w:val="28"/>
              <w:szCs w:val="28"/>
            </w:rPr>
          </w:pPr>
          <w:r>
            <w:rPr>
              <w:b/>
              <w:color w:val="595959" w:themeColor="text1" w:themeTint="A6"/>
              <w:sz w:val="28"/>
              <w:szCs w:val="28"/>
            </w:rPr>
            <w:t>CUMBRIA GROWTH FUND</w:t>
          </w:r>
          <w:r w:rsidRPr="0037266B">
            <w:rPr>
              <w:b/>
              <w:color w:val="595959" w:themeColor="text1" w:themeTint="A6"/>
              <w:sz w:val="28"/>
              <w:szCs w:val="28"/>
            </w:rPr>
            <w:t xml:space="preserve"> GUIDELINES</w:t>
          </w:r>
        </w:p>
      </w:tc>
      <w:tc>
        <w:tcPr>
          <w:tcW w:w="2891" w:type="dxa"/>
        </w:tcPr>
        <w:p w:rsidR="00F73C3A" w:rsidRDefault="00F73C3A" w:rsidP="00081966">
          <w:pPr>
            <w:pStyle w:val="Header"/>
            <w:jc w:val="right"/>
          </w:pPr>
        </w:p>
      </w:tc>
    </w:tr>
  </w:tbl>
  <w:p w:rsidR="00F73C3A" w:rsidRDefault="00F73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18"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6805"/>
      <w:gridCol w:w="2833"/>
    </w:tblGrid>
    <w:tr w:rsidR="00F73C3A" w:rsidTr="00081966">
      <w:tc>
        <w:tcPr>
          <w:tcW w:w="6912" w:type="dxa"/>
        </w:tcPr>
        <w:p w:rsidR="00F73C3A" w:rsidRPr="0037266B" w:rsidRDefault="00F73C3A" w:rsidP="00E32B13">
          <w:pPr>
            <w:pStyle w:val="Header"/>
            <w:spacing w:before="120" w:after="120"/>
            <w:rPr>
              <w:b/>
              <w:color w:val="595959" w:themeColor="text1" w:themeTint="A6"/>
              <w:sz w:val="28"/>
              <w:szCs w:val="28"/>
            </w:rPr>
          </w:pPr>
          <w:r>
            <w:rPr>
              <w:b/>
              <w:color w:val="595959" w:themeColor="text1" w:themeTint="A6"/>
              <w:sz w:val="28"/>
              <w:szCs w:val="28"/>
            </w:rPr>
            <w:t>CUMBRIA GROWTH FUND</w:t>
          </w:r>
          <w:r w:rsidRPr="0037266B">
            <w:rPr>
              <w:b/>
              <w:color w:val="595959" w:themeColor="text1" w:themeTint="A6"/>
              <w:sz w:val="28"/>
              <w:szCs w:val="28"/>
            </w:rPr>
            <w:t xml:space="preserve"> GUIDELINES</w:t>
          </w:r>
        </w:p>
        <w:p w:rsidR="00F73C3A" w:rsidRPr="00E32B13" w:rsidRDefault="00F73C3A" w:rsidP="00081966">
          <w:pPr>
            <w:pStyle w:val="Header"/>
            <w:spacing w:before="120" w:after="120"/>
            <w:rPr>
              <w:sz w:val="28"/>
              <w:szCs w:val="28"/>
            </w:rPr>
          </w:pPr>
        </w:p>
      </w:tc>
      <w:tc>
        <w:tcPr>
          <w:tcW w:w="2891" w:type="dxa"/>
        </w:tcPr>
        <w:p w:rsidR="00F73C3A" w:rsidRDefault="00F73C3A" w:rsidP="00081966">
          <w:pPr>
            <w:pStyle w:val="Header"/>
            <w:jc w:val="right"/>
          </w:pPr>
        </w:p>
      </w:tc>
    </w:tr>
  </w:tbl>
  <w:p w:rsidR="00F73C3A" w:rsidRDefault="00F73C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18"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6805"/>
      <w:gridCol w:w="2833"/>
    </w:tblGrid>
    <w:tr w:rsidR="00F73C3A" w:rsidTr="00081966">
      <w:tc>
        <w:tcPr>
          <w:tcW w:w="6912" w:type="dxa"/>
        </w:tcPr>
        <w:p w:rsidR="00F73C3A" w:rsidRPr="00E32B13" w:rsidRDefault="00F73C3A" w:rsidP="00E32B13">
          <w:pPr>
            <w:pStyle w:val="Header"/>
            <w:spacing w:before="120" w:after="120"/>
            <w:rPr>
              <w:b/>
              <w:color w:val="1F497D" w:themeColor="text2"/>
              <w:sz w:val="28"/>
              <w:szCs w:val="28"/>
            </w:rPr>
          </w:pPr>
          <w:r>
            <w:rPr>
              <w:b/>
              <w:color w:val="1F497D" w:themeColor="text2"/>
              <w:sz w:val="28"/>
              <w:szCs w:val="28"/>
            </w:rPr>
            <w:t>CUMBRIA GROWTH FUND</w:t>
          </w:r>
          <w:r w:rsidRPr="00E32B13">
            <w:rPr>
              <w:b/>
              <w:color w:val="1F497D" w:themeColor="text2"/>
              <w:sz w:val="28"/>
              <w:szCs w:val="28"/>
            </w:rPr>
            <w:t xml:space="preserve"> GUIDELINES</w:t>
          </w:r>
        </w:p>
        <w:p w:rsidR="00F73C3A" w:rsidRPr="00E32B13" w:rsidRDefault="00F73C3A" w:rsidP="00081966">
          <w:pPr>
            <w:pStyle w:val="Header"/>
            <w:spacing w:before="120" w:after="120"/>
            <w:rPr>
              <w:sz w:val="28"/>
              <w:szCs w:val="28"/>
            </w:rPr>
          </w:pPr>
          <w:r>
            <w:rPr>
              <w:sz w:val="28"/>
              <w:szCs w:val="28"/>
            </w:rPr>
            <w:t>ANNEXES</w:t>
          </w:r>
        </w:p>
      </w:tc>
      <w:tc>
        <w:tcPr>
          <w:tcW w:w="2891" w:type="dxa"/>
        </w:tcPr>
        <w:p w:rsidR="00F73C3A" w:rsidRDefault="00F73C3A" w:rsidP="00081966">
          <w:pPr>
            <w:pStyle w:val="Header"/>
            <w:jc w:val="right"/>
          </w:pPr>
        </w:p>
      </w:tc>
    </w:tr>
  </w:tbl>
  <w:p w:rsidR="00F73C3A" w:rsidRDefault="00F73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4D12"/>
    <w:multiLevelType w:val="hybridMultilevel"/>
    <w:tmpl w:val="0366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C01E1"/>
    <w:multiLevelType w:val="hybridMultilevel"/>
    <w:tmpl w:val="649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25FC7"/>
    <w:multiLevelType w:val="hybridMultilevel"/>
    <w:tmpl w:val="EE8A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77FDE"/>
    <w:multiLevelType w:val="hybridMultilevel"/>
    <w:tmpl w:val="90826340"/>
    <w:lvl w:ilvl="0" w:tplc="08090001">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E70055"/>
    <w:multiLevelType w:val="hybridMultilevel"/>
    <w:tmpl w:val="D9FAE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CC4BB6"/>
    <w:multiLevelType w:val="hybridMultilevel"/>
    <w:tmpl w:val="D594349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2A2EBD"/>
    <w:multiLevelType w:val="hybridMultilevel"/>
    <w:tmpl w:val="4CBC3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440B4"/>
    <w:multiLevelType w:val="hybridMultilevel"/>
    <w:tmpl w:val="6A222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E53B97"/>
    <w:multiLevelType w:val="hybridMultilevel"/>
    <w:tmpl w:val="A02EA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0C34E2B"/>
    <w:multiLevelType w:val="hybridMultilevel"/>
    <w:tmpl w:val="29F89146"/>
    <w:lvl w:ilvl="0" w:tplc="08090001">
      <w:start w:val="1"/>
      <w:numFmt w:val="bullet"/>
      <w:lvlText w:val=""/>
      <w:lvlJc w:val="left"/>
      <w:pPr>
        <w:ind w:left="360" w:hanging="360"/>
      </w:pPr>
      <w:rPr>
        <w:rFonts w:ascii="Symbol" w:hAnsi="Symbol" w:hint="default"/>
        <w:color w:val="1F497D"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1C73059"/>
    <w:multiLevelType w:val="hybridMultilevel"/>
    <w:tmpl w:val="B5C4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2E2840"/>
    <w:multiLevelType w:val="hybridMultilevel"/>
    <w:tmpl w:val="B29EF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8C5780F"/>
    <w:multiLevelType w:val="hybridMultilevel"/>
    <w:tmpl w:val="02408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A3475A1"/>
    <w:multiLevelType w:val="hybridMultilevel"/>
    <w:tmpl w:val="6510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950B67"/>
    <w:multiLevelType w:val="hybridMultilevel"/>
    <w:tmpl w:val="2DD4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F13795"/>
    <w:multiLevelType w:val="hybridMultilevel"/>
    <w:tmpl w:val="10DE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A5502A"/>
    <w:multiLevelType w:val="hybridMultilevel"/>
    <w:tmpl w:val="D094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604FE0"/>
    <w:multiLevelType w:val="hybridMultilevel"/>
    <w:tmpl w:val="FCACE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EC23FF0"/>
    <w:multiLevelType w:val="multilevel"/>
    <w:tmpl w:val="B3B0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315EAC"/>
    <w:multiLevelType w:val="hybridMultilevel"/>
    <w:tmpl w:val="ED846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535743"/>
    <w:multiLevelType w:val="hybridMultilevel"/>
    <w:tmpl w:val="6C3EE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A63434"/>
    <w:multiLevelType w:val="hybridMultilevel"/>
    <w:tmpl w:val="DEEE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4937AF"/>
    <w:multiLevelType w:val="hybridMultilevel"/>
    <w:tmpl w:val="F95E3E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597984"/>
    <w:multiLevelType w:val="hybridMultilevel"/>
    <w:tmpl w:val="FF0067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D566F6"/>
    <w:multiLevelType w:val="hybridMultilevel"/>
    <w:tmpl w:val="759EC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6A4093"/>
    <w:multiLevelType w:val="hybridMultilevel"/>
    <w:tmpl w:val="0032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6547B4"/>
    <w:multiLevelType w:val="hybridMultilevel"/>
    <w:tmpl w:val="F856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367704"/>
    <w:multiLevelType w:val="hybridMultilevel"/>
    <w:tmpl w:val="5A26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556842"/>
    <w:multiLevelType w:val="hybridMultilevel"/>
    <w:tmpl w:val="D948285E"/>
    <w:lvl w:ilvl="0" w:tplc="FFFFFFFF">
      <w:start w:val="1"/>
      <w:numFmt w:val="lowerLetter"/>
      <w:lvlText w:val="%1)"/>
      <w:lvlJc w:val="left"/>
      <w:pPr>
        <w:ind w:left="720" w:hanging="360"/>
      </w:pPr>
    </w:lvl>
    <w:lvl w:ilvl="1" w:tplc="08090001">
      <w:start w:val="1"/>
      <w:numFmt w:val="bullet"/>
      <w:lvlText w:val=""/>
      <w:lvlJc w:val="left"/>
      <w:pPr>
        <w:ind w:left="786" w:hanging="360"/>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1679CA"/>
    <w:multiLevelType w:val="hybridMultilevel"/>
    <w:tmpl w:val="0520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8E592A"/>
    <w:multiLevelType w:val="hybridMultilevel"/>
    <w:tmpl w:val="EBD039EC"/>
    <w:lvl w:ilvl="0" w:tplc="08090001">
      <w:start w:val="1"/>
      <w:numFmt w:val="bullet"/>
      <w:lvlText w:val=""/>
      <w:lvlJc w:val="left"/>
      <w:pPr>
        <w:ind w:left="720" w:hanging="360"/>
      </w:pPr>
      <w:rPr>
        <w:rFonts w:ascii="Symbol" w:hAnsi="Symbol" w:hint="default"/>
      </w:rPr>
    </w:lvl>
    <w:lvl w:ilvl="1" w:tplc="F37EBDC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8B8202C"/>
    <w:multiLevelType w:val="hybridMultilevel"/>
    <w:tmpl w:val="E4BED4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A396E9C"/>
    <w:multiLevelType w:val="hybridMultilevel"/>
    <w:tmpl w:val="6536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A67C62"/>
    <w:multiLevelType w:val="hybridMultilevel"/>
    <w:tmpl w:val="001A244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0E5500B"/>
    <w:multiLevelType w:val="hybridMultilevel"/>
    <w:tmpl w:val="35E86D3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0FD7C77"/>
    <w:multiLevelType w:val="hybridMultilevel"/>
    <w:tmpl w:val="5DF4F2AA"/>
    <w:lvl w:ilvl="0" w:tplc="FFFFFFFF">
      <w:start w:val="1"/>
      <w:numFmt w:val="lowerLetter"/>
      <w:lvlText w:val="%1)"/>
      <w:lvlJc w:val="left"/>
      <w:pPr>
        <w:ind w:left="720" w:hanging="360"/>
      </w:pPr>
    </w:lvl>
    <w:lvl w:ilvl="1" w:tplc="7D0CC37C">
      <w:start w:val="1"/>
      <w:numFmt w:val="lowerLetter"/>
      <w:lvlText w:val="%2)"/>
      <w:lvlJc w:val="left"/>
      <w:pPr>
        <w:ind w:left="144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190DAF"/>
    <w:multiLevelType w:val="hybridMultilevel"/>
    <w:tmpl w:val="42E01210"/>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3BD7C1F"/>
    <w:multiLevelType w:val="hybridMultilevel"/>
    <w:tmpl w:val="2DB4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214DEB"/>
    <w:multiLevelType w:val="hybridMultilevel"/>
    <w:tmpl w:val="C7EE8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72A5441"/>
    <w:multiLevelType w:val="hybridMultilevel"/>
    <w:tmpl w:val="FE36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845447"/>
    <w:multiLevelType w:val="hybridMultilevel"/>
    <w:tmpl w:val="C8749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499D624B"/>
    <w:multiLevelType w:val="hybridMultilevel"/>
    <w:tmpl w:val="36A6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A429AB"/>
    <w:multiLevelType w:val="hybridMultilevel"/>
    <w:tmpl w:val="92DA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BA16C9"/>
    <w:multiLevelType w:val="hybridMultilevel"/>
    <w:tmpl w:val="A52AC6B8"/>
    <w:lvl w:ilvl="0" w:tplc="08090003">
      <w:start w:val="1"/>
      <w:numFmt w:val="bullet"/>
      <w:lvlText w:val="o"/>
      <w:lvlJc w:val="left"/>
      <w:pPr>
        <w:ind w:left="1080" w:hanging="360"/>
      </w:pPr>
      <w:rPr>
        <w:rFonts w:ascii="Courier New" w:hAnsi="Courier New" w:cs="Courier New" w:hint="default"/>
      </w:rPr>
    </w:lvl>
    <w:lvl w:ilvl="1" w:tplc="13E6C51C">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4C1452ED"/>
    <w:multiLevelType w:val="hybridMultilevel"/>
    <w:tmpl w:val="099A9330"/>
    <w:lvl w:ilvl="0" w:tplc="08090001">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C91288E"/>
    <w:multiLevelType w:val="hybridMultilevel"/>
    <w:tmpl w:val="2FB4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DC5169"/>
    <w:multiLevelType w:val="hybridMultilevel"/>
    <w:tmpl w:val="054442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ED15D7A"/>
    <w:multiLevelType w:val="hybridMultilevel"/>
    <w:tmpl w:val="B6BC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F3C78FA"/>
    <w:multiLevelType w:val="hybridMultilevel"/>
    <w:tmpl w:val="CE30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FE971A7"/>
    <w:multiLevelType w:val="hybridMultilevel"/>
    <w:tmpl w:val="B678B8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13807B1"/>
    <w:multiLevelType w:val="hybridMultilevel"/>
    <w:tmpl w:val="9EE8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1E45591"/>
    <w:multiLevelType w:val="hybridMultilevel"/>
    <w:tmpl w:val="E4F8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27462BD"/>
    <w:multiLevelType w:val="hybridMultilevel"/>
    <w:tmpl w:val="002A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5409C0"/>
    <w:multiLevelType w:val="hybridMultilevel"/>
    <w:tmpl w:val="573E4250"/>
    <w:lvl w:ilvl="0" w:tplc="FFFFFFFF">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C3762DC0">
      <w:start w:val="3"/>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B465A35"/>
    <w:multiLevelType w:val="hybridMultilevel"/>
    <w:tmpl w:val="6110331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5BC5566C"/>
    <w:multiLevelType w:val="hybridMultilevel"/>
    <w:tmpl w:val="6396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F977424"/>
    <w:multiLevelType w:val="hybridMultilevel"/>
    <w:tmpl w:val="95FA1A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1CD4AEB"/>
    <w:multiLevelType w:val="hybridMultilevel"/>
    <w:tmpl w:val="CFCC82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2483A91"/>
    <w:multiLevelType w:val="hybridMultilevel"/>
    <w:tmpl w:val="F45CF4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5DE51B1"/>
    <w:multiLevelType w:val="hybridMultilevel"/>
    <w:tmpl w:val="C3EA5F14"/>
    <w:lvl w:ilvl="0" w:tplc="08090001">
      <w:start w:val="1"/>
      <w:numFmt w:val="bullet"/>
      <w:lvlText w:val=""/>
      <w:lvlJc w:val="left"/>
      <w:pPr>
        <w:ind w:left="720" w:hanging="360"/>
      </w:pPr>
      <w:rPr>
        <w:rFonts w:ascii="Symbol" w:hAnsi="Symbol" w:hint="default"/>
        <w:color w:val="1F497D" w:themeColor="text2"/>
      </w:rPr>
    </w:lvl>
    <w:lvl w:ilvl="1" w:tplc="08090001">
      <w:start w:val="1"/>
      <w:numFmt w:val="bullet"/>
      <w:lvlText w:val=""/>
      <w:lvlJc w:val="left"/>
      <w:pPr>
        <w:ind w:left="1440" w:hanging="360"/>
      </w:pPr>
      <w:rPr>
        <w:rFonts w:ascii="Symbol" w:hAnsi="Symbol" w:hint="default"/>
        <w:color w:val="262964" w:themeColor="accent1"/>
      </w:rPr>
    </w:lvl>
    <w:lvl w:ilvl="2" w:tplc="2CD2BD8E">
      <w:start w:val="4"/>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8001D1A"/>
    <w:multiLevelType w:val="hybridMultilevel"/>
    <w:tmpl w:val="6CE4C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694435C4"/>
    <w:multiLevelType w:val="hybridMultilevel"/>
    <w:tmpl w:val="6E8456AE"/>
    <w:lvl w:ilvl="0" w:tplc="7D0CC37C">
      <w:start w:val="1"/>
      <w:numFmt w:val="lowerLetter"/>
      <w:lvlText w:val="%1)"/>
      <w:lvlJc w:val="left"/>
      <w:pPr>
        <w:ind w:left="720" w:hanging="360"/>
      </w:pPr>
      <w:rPr>
        <w:rFonts w:hint="default"/>
        <w:color w:val="auto"/>
      </w:rPr>
    </w:lvl>
    <w:lvl w:ilvl="1" w:tplc="08090001">
      <w:start w:val="1"/>
      <w:numFmt w:val="bullet"/>
      <w:lvlText w:val=""/>
      <w:lvlJc w:val="left"/>
      <w:pPr>
        <w:ind w:left="1440" w:hanging="360"/>
      </w:pPr>
      <w:rPr>
        <w:rFonts w:ascii="Symbol" w:hAnsi="Symbol" w:hint="default"/>
      </w:rPr>
    </w:lvl>
    <w:lvl w:ilvl="2" w:tplc="ECAAF2D6">
      <w:start w:val="1"/>
      <w:numFmt w:val="lowerRoman"/>
      <w:lvlText w:val="(%3)"/>
      <w:lvlJc w:val="left"/>
      <w:pPr>
        <w:ind w:left="2700" w:hanging="720"/>
      </w:pPr>
      <w:rPr>
        <w:rFonts w:hint="default"/>
      </w:rPr>
    </w:lvl>
    <w:lvl w:ilvl="3" w:tplc="9A868A26">
      <w:start w:val="1"/>
      <w:numFmt w:val="bullet"/>
      <w:lvlText w:val="-"/>
      <w:lvlJc w:val="left"/>
      <w:pPr>
        <w:ind w:left="2880" w:hanging="36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F2E0468"/>
    <w:multiLevelType w:val="hybridMultilevel"/>
    <w:tmpl w:val="3E047A8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3" w15:restartNumberingAfterBreak="0">
    <w:nsid w:val="718A1C09"/>
    <w:multiLevelType w:val="hybridMultilevel"/>
    <w:tmpl w:val="5570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6033244"/>
    <w:multiLevelType w:val="hybridMultilevel"/>
    <w:tmpl w:val="B94E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A2E0A9D"/>
    <w:multiLevelType w:val="hybridMultilevel"/>
    <w:tmpl w:val="42087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7DC36428"/>
    <w:multiLevelType w:val="hybridMultilevel"/>
    <w:tmpl w:val="2D7685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7FCF7124"/>
    <w:multiLevelType w:val="hybridMultilevel"/>
    <w:tmpl w:val="7B607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63"/>
  </w:num>
  <w:num w:numId="3">
    <w:abstractNumId w:val="14"/>
  </w:num>
  <w:num w:numId="4">
    <w:abstractNumId w:val="27"/>
  </w:num>
  <w:num w:numId="5">
    <w:abstractNumId w:val="42"/>
  </w:num>
  <w:num w:numId="6">
    <w:abstractNumId w:val="59"/>
  </w:num>
  <w:num w:numId="7">
    <w:abstractNumId w:val="40"/>
  </w:num>
  <w:num w:numId="8">
    <w:abstractNumId w:val="25"/>
  </w:num>
  <w:num w:numId="9">
    <w:abstractNumId w:val="17"/>
  </w:num>
  <w:num w:numId="10">
    <w:abstractNumId w:val="66"/>
  </w:num>
  <w:num w:numId="11">
    <w:abstractNumId w:val="0"/>
  </w:num>
  <w:num w:numId="12">
    <w:abstractNumId w:val="41"/>
  </w:num>
  <w:num w:numId="13">
    <w:abstractNumId w:val="61"/>
  </w:num>
  <w:num w:numId="14">
    <w:abstractNumId w:val="64"/>
  </w:num>
  <w:num w:numId="15">
    <w:abstractNumId w:val="35"/>
  </w:num>
  <w:num w:numId="16">
    <w:abstractNumId w:val="34"/>
  </w:num>
  <w:num w:numId="17">
    <w:abstractNumId w:val="37"/>
  </w:num>
  <w:num w:numId="18">
    <w:abstractNumId w:val="45"/>
  </w:num>
  <w:num w:numId="19">
    <w:abstractNumId w:val="32"/>
  </w:num>
  <w:num w:numId="20">
    <w:abstractNumId w:val="18"/>
  </w:num>
  <w:num w:numId="21">
    <w:abstractNumId w:val="55"/>
  </w:num>
  <w:num w:numId="22">
    <w:abstractNumId w:val="1"/>
  </w:num>
  <w:num w:numId="23">
    <w:abstractNumId w:val="6"/>
  </w:num>
  <w:num w:numId="24">
    <w:abstractNumId w:val="52"/>
  </w:num>
  <w:num w:numId="25">
    <w:abstractNumId w:val="46"/>
  </w:num>
  <w:num w:numId="26">
    <w:abstractNumId w:val="24"/>
  </w:num>
  <w:num w:numId="27">
    <w:abstractNumId w:val="29"/>
  </w:num>
  <w:num w:numId="28">
    <w:abstractNumId w:val="65"/>
  </w:num>
  <w:num w:numId="29">
    <w:abstractNumId w:val="4"/>
  </w:num>
  <w:num w:numId="30">
    <w:abstractNumId w:val="19"/>
  </w:num>
  <w:num w:numId="31">
    <w:abstractNumId w:val="5"/>
  </w:num>
  <w:num w:numId="32">
    <w:abstractNumId w:val="11"/>
  </w:num>
  <w:num w:numId="33">
    <w:abstractNumId w:val="7"/>
  </w:num>
  <w:num w:numId="34">
    <w:abstractNumId w:val="12"/>
  </w:num>
  <w:num w:numId="35">
    <w:abstractNumId w:val="38"/>
  </w:num>
  <w:num w:numId="36">
    <w:abstractNumId w:val="60"/>
  </w:num>
  <w:num w:numId="37">
    <w:abstractNumId w:val="30"/>
  </w:num>
  <w:num w:numId="38">
    <w:abstractNumId w:val="43"/>
  </w:num>
  <w:num w:numId="39">
    <w:abstractNumId w:val="57"/>
  </w:num>
  <w:num w:numId="40">
    <w:abstractNumId w:val="47"/>
  </w:num>
  <w:num w:numId="41">
    <w:abstractNumId w:val="9"/>
  </w:num>
  <w:num w:numId="42">
    <w:abstractNumId w:val="36"/>
  </w:num>
  <w:num w:numId="43">
    <w:abstractNumId w:val="44"/>
  </w:num>
  <w:num w:numId="44">
    <w:abstractNumId w:val="49"/>
  </w:num>
  <w:num w:numId="45">
    <w:abstractNumId w:val="58"/>
  </w:num>
  <w:num w:numId="46">
    <w:abstractNumId w:val="56"/>
  </w:num>
  <w:num w:numId="47">
    <w:abstractNumId w:val="53"/>
  </w:num>
  <w:num w:numId="48">
    <w:abstractNumId w:val="20"/>
  </w:num>
  <w:num w:numId="49">
    <w:abstractNumId w:val="51"/>
  </w:num>
  <w:num w:numId="50">
    <w:abstractNumId w:val="8"/>
  </w:num>
  <w:num w:numId="51">
    <w:abstractNumId w:val="22"/>
  </w:num>
  <w:num w:numId="52">
    <w:abstractNumId w:val="33"/>
  </w:num>
  <w:num w:numId="53">
    <w:abstractNumId w:val="67"/>
  </w:num>
  <w:num w:numId="54">
    <w:abstractNumId w:val="31"/>
  </w:num>
  <w:num w:numId="55">
    <w:abstractNumId w:val="23"/>
  </w:num>
  <w:num w:numId="56">
    <w:abstractNumId w:val="28"/>
  </w:num>
  <w:num w:numId="57">
    <w:abstractNumId w:val="3"/>
  </w:num>
  <w:num w:numId="58">
    <w:abstractNumId w:val="54"/>
  </w:num>
  <w:num w:numId="59">
    <w:abstractNumId w:val="10"/>
  </w:num>
  <w:num w:numId="60">
    <w:abstractNumId w:val="16"/>
  </w:num>
  <w:num w:numId="61">
    <w:abstractNumId w:val="13"/>
  </w:num>
  <w:num w:numId="62">
    <w:abstractNumId w:val="21"/>
  </w:num>
  <w:num w:numId="63">
    <w:abstractNumId w:val="15"/>
  </w:num>
  <w:num w:numId="64">
    <w:abstractNumId w:val="2"/>
  </w:num>
  <w:num w:numId="65">
    <w:abstractNumId w:val="50"/>
  </w:num>
  <w:num w:numId="66">
    <w:abstractNumId w:val="48"/>
  </w:num>
  <w:num w:numId="67">
    <w:abstractNumId w:val="26"/>
  </w:num>
  <w:num w:numId="68">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BD"/>
    <w:rsid w:val="000011CF"/>
    <w:rsid w:val="00010561"/>
    <w:rsid w:val="00013962"/>
    <w:rsid w:val="00025813"/>
    <w:rsid w:val="00025F94"/>
    <w:rsid w:val="0002758E"/>
    <w:rsid w:val="00034425"/>
    <w:rsid w:val="000364C4"/>
    <w:rsid w:val="00040028"/>
    <w:rsid w:val="0004306F"/>
    <w:rsid w:val="00045B57"/>
    <w:rsid w:val="0004602A"/>
    <w:rsid w:val="00046853"/>
    <w:rsid w:val="00046DB3"/>
    <w:rsid w:val="00055243"/>
    <w:rsid w:val="00062088"/>
    <w:rsid w:val="00081966"/>
    <w:rsid w:val="000952EC"/>
    <w:rsid w:val="000A081E"/>
    <w:rsid w:val="000A2973"/>
    <w:rsid w:val="000A4965"/>
    <w:rsid w:val="000A5F95"/>
    <w:rsid w:val="000B00B4"/>
    <w:rsid w:val="000B37D1"/>
    <w:rsid w:val="000B39B8"/>
    <w:rsid w:val="000B786A"/>
    <w:rsid w:val="000D0198"/>
    <w:rsid w:val="000E2BFA"/>
    <w:rsid w:val="000F436B"/>
    <w:rsid w:val="000F46E5"/>
    <w:rsid w:val="000F6F7A"/>
    <w:rsid w:val="00122EB0"/>
    <w:rsid w:val="00124880"/>
    <w:rsid w:val="00151913"/>
    <w:rsid w:val="0015325B"/>
    <w:rsid w:val="00155329"/>
    <w:rsid w:val="00175ACB"/>
    <w:rsid w:val="001829BB"/>
    <w:rsid w:val="001908E8"/>
    <w:rsid w:val="0019400B"/>
    <w:rsid w:val="001A7B0F"/>
    <w:rsid w:val="001B292D"/>
    <w:rsid w:val="001C01C2"/>
    <w:rsid w:val="001C7680"/>
    <w:rsid w:val="001C7FBB"/>
    <w:rsid w:val="001E1375"/>
    <w:rsid w:val="001F5F7A"/>
    <w:rsid w:val="0022534A"/>
    <w:rsid w:val="00234967"/>
    <w:rsid w:val="00242D99"/>
    <w:rsid w:val="002466B1"/>
    <w:rsid w:val="00253FED"/>
    <w:rsid w:val="00254221"/>
    <w:rsid w:val="0026375B"/>
    <w:rsid w:val="00263E50"/>
    <w:rsid w:val="00265D1B"/>
    <w:rsid w:val="00267150"/>
    <w:rsid w:val="00273438"/>
    <w:rsid w:val="002734D7"/>
    <w:rsid w:val="002836E4"/>
    <w:rsid w:val="002847A9"/>
    <w:rsid w:val="002A5BF7"/>
    <w:rsid w:val="002C7F83"/>
    <w:rsid w:val="002F2C49"/>
    <w:rsid w:val="002F353F"/>
    <w:rsid w:val="002F676D"/>
    <w:rsid w:val="00311D8A"/>
    <w:rsid w:val="003129D6"/>
    <w:rsid w:val="00320DFE"/>
    <w:rsid w:val="00321798"/>
    <w:rsid w:val="003245A6"/>
    <w:rsid w:val="00324E8C"/>
    <w:rsid w:val="003268E9"/>
    <w:rsid w:val="00342EE1"/>
    <w:rsid w:val="00350BB4"/>
    <w:rsid w:val="00357F42"/>
    <w:rsid w:val="00361335"/>
    <w:rsid w:val="0037266B"/>
    <w:rsid w:val="0037385C"/>
    <w:rsid w:val="00376918"/>
    <w:rsid w:val="0038463D"/>
    <w:rsid w:val="00384B31"/>
    <w:rsid w:val="00391D99"/>
    <w:rsid w:val="0039557D"/>
    <w:rsid w:val="003B0C80"/>
    <w:rsid w:val="003B5AD7"/>
    <w:rsid w:val="003C3F20"/>
    <w:rsid w:val="003C49B8"/>
    <w:rsid w:val="003C755C"/>
    <w:rsid w:val="003E6B96"/>
    <w:rsid w:val="003E6D0C"/>
    <w:rsid w:val="003F04F2"/>
    <w:rsid w:val="003F304D"/>
    <w:rsid w:val="003F3C3E"/>
    <w:rsid w:val="00413221"/>
    <w:rsid w:val="0041787F"/>
    <w:rsid w:val="004222AD"/>
    <w:rsid w:val="0043018E"/>
    <w:rsid w:val="00434152"/>
    <w:rsid w:val="00441C60"/>
    <w:rsid w:val="00450A22"/>
    <w:rsid w:val="00460BAC"/>
    <w:rsid w:val="0046572F"/>
    <w:rsid w:val="00474C6D"/>
    <w:rsid w:val="0048098F"/>
    <w:rsid w:val="00484312"/>
    <w:rsid w:val="00487CFA"/>
    <w:rsid w:val="00492535"/>
    <w:rsid w:val="00493FEC"/>
    <w:rsid w:val="004B4C92"/>
    <w:rsid w:val="004B5BDB"/>
    <w:rsid w:val="004C728A"/>
    <w:rsid w:val="004D2FD4"/>
    <w:rsid w:val="004D4881"/>
    <w:rsid w:val="004D5914"/>
    <w:rsid w:val="004E08EC"/>
    <w:rsid w:val="004F4708"/>
    <w:rsid w:val="004F4EE7"/>
    <w:rsid w:val="004F5EB9"/>
    <w:rsid w:val="00503428"/>
    <w:rsid w:val="005051FD"/>
    <w:rsid w:val="00505F05"/>
    <w:rsid w:val="00521D1E"/>
    <w:rsid w:val="00522BCB"/>
    <w:rsid w:val="005251F0"/>
    <w:rsid w:val="0053067B"/>
    <w:rsid w:val="00542713"/>
    <w:rsid w:val="00543D6A"/>
    <w:rsid w:val="005562A9"/>
    <w:rsid w:val="005571A9"/>
    <w:rsid w:val="00567100"/>
    <w:rsid w:val="005703CB"/>
    <w:rsid w:val="00594EA7"/>
    <w:rsid w:val="005950E8"/>
    <w:rsid w:val="005C7829"/>
    <w:rsid w:val="005E6E49"/>
    <w:rsid w:val="00604303"/>
    <w:rsid w:val="00612905"/>
    <w:rsid w:val="00614491"/>
    <w:rsid w:val="00635B3A"/>
    <w:rsid w:val="00635E79"/>
    <w:rsid w:val="00642703"/>
    <w:rsid w:val="00663C44"/>
    <w:rsid w:val="006714D9"/>
    <w:rsid w:val="006742F1"/>
    <w:rsid w:val="00674AE5"/>
    <w:rsid w:val="006753D6"/>
    <w:rsid w:val="00686851"/>
    <w:rsid w:val="00694D18"/>
    <w:rsid w:val="006977BD"/>
    <w:rsid w:val="006A077D"/>
    <w:rsid w:val="006A2316"/>
    <w:rsid w:val="006E0EC4"/>
    <w:rsid w:val="006F613C"/>
    <w:rsid w:val="00710C1E"/>
    <w:rsid w:val="00737D08"/>
    <w:rsid w:val="007407EC"/>
    <w:rsid w:val="007507C0"/>
    <w:rsid w:val="00762119"/>
    <w:rsid w:val="00781288"/>
    <w:rsid w:val="00792B34"/>
    <w:rsid w:val="007A2574"/>
    <w:rsid w:val="007A5BC3"/>
    <w:rsid w:val="007B1E37"/>
    <w:rsid w:val="007B5E94"/>
    <w:rsid w:val="007C6244"/>
    <w:rsid w:val="007D3CFE"/>
    <w:rsid w:val="007F6686"/>
    <w:rsid w:val="0082181B"/>
    <w:rsid w:val="008244D2"/>
    <w:rsid w:val="00824B58"/>
    <w:rsid w:val="0083240C"/>
    <w:rsid w:val="00844957"/>
    <w:rsid w:val="00854ED5"/>
    <w:rsid w:val="00857D7C"/>
    <w:rsid w:val="00861472"/>
    <w:rsid w:val="008825D6"/>
    <w:rsid w:val="008869EF"/>
    <w:rsid w:val="008A33CC"/>
    <w:rsid w:val="008B1C2A"/>
    <w:rsid w:val="008B3673"/>
    <w:rsid w:val="008B4D90"/>
    <w:rsid w:val="008C0283"/>
    <w:rsid w:val="008C13A5"/>
    <w:rsid w:val="008C290E"/>
    <w:rsid w:val="008D1799"/>
    <w:rsid w:val="008D2D20"/>
    <w:rsid w:val="008D405B"/>
    <w:rsid w:val="008E04C5"/>
    <w:rsid w:val="008E770B"/>
    <w:rsid w:val="008F4CCC"/>
    <w:rsid w:val="0090413F"/>
    <w:rsid w:val="00906A6A"/>
    <w:rsid w:val="0091207D"/>
    <w:rsid w:val="00914012"/>
    <w:rsid w:val="009362B2"/>
    <w:rsid w:val="00937F30"/>
    <w:rsid w:val="00961B68"/>
    <w:rsid w:val="00963FE8"/>
    <w:rsid w:val="00970380"/>
    <w:rsid w:val="009720DE"/>
    <w:rsid w:val="00975102"/>
    <w:rsid w:val="009772E0"/>
    <w:rsid w:val="00977B01"/>
    <w:rsid w:val="00981B48"/>
    <w:rsid w:val="009A69DE"/>
    <w:rsid w:val="009B49C2"/>
    <w:rsid w:val="009B680F"/>
    <w:rsid w:val="009C42CE"/>
    <w:rsid w:val="009D6765"/>
    <w:rsid w:val="009E1BF0"/>
    <w:rsid w:val="009E1C5B"/>
    <w:rsid w:val="009F62EA"/>
    <w:rsid w:val="00A07029"/>
    <w:rsid w:val="00A10EBD"/>
    <w:rsid w:val="00A16F5E"/>
    <w:rsid w:val="00A229EB"/>
    <w:rsid w:val="00A2309A"/>
    <w:rsid w:val="00A249B1"/>
    <w:rsid w:val="00A3093D"/>
    <w:rsid w:val="00A31E2B"/>
    <w:rsid w:val="00A32388"/>
    <w:rsid w:val="00A400E5"/>
    <w:rsid w:val="00A56038"/>
    <w:rsid w:val="00A648E9"/>
    <w:rsid w:val="00A6625D"/>
    <w:rsid w:val="00A666F4"/>
    <w:rsid w:val="00A74614"/>
    <w:rsid w:val="00A7502B"/>
    <w:rsid w:val="00A75898"/>
    <w:rsid w:val="00A77B47"/>
    <w:rsid w:val="00A8126C"/>
    <w:rsid w:val="00AA2789"/>
    <w:rsid w:val="00AA278D"/>
    <w:rsid w:val="00AC10D3"/>
    <w:rsid w:val="00AD1251"/>
    <w:rsid w:val="00AE0EF3"/>
    <w:rsid w:val="00AE4653"/>
    <w:rsid w:val="00AE6549"/>
    <w:rsid w:val="00B1112B"/>
    <w:rsid w:val="00B165A2"/>
    <w:rsid w:val="00B16860"/>
    <w:rsid w:val="00B266E2"/>
    <w:rsid w:val="00B3076A"/>
    <w:rsid w:val="00B3550A"/>
    <w:rsid w:val="00B5075B"/>
    <w:rsid w:val="00B51490"/>
    <w:rsid w:val="00B526D1"/>
    <w:rsid w:val="00B56BF5"/>
    <w:rsid w:val="00B56C6B"/>
    <w:rsid w:val="00B57780"/>
    <w:rsid w:val="00B602FC"/>
    <w:rsid w:val="00B65258"/>
    <w:rsid w:val="00B67804"/>
    <w:rsid w:val="00B73D03"/>
    <w:rsid w:val="00B86109"/>
    <w:rsid w:val="00B87C67"/>
    <w:rsid w:val="00B96D14"/>
    <w:rsid w:val="00B96E7A"/>
    <w:rsid w:val="00BA1B8C"/>
    <w:rsid w:val="00BA4356"/>
    <w:rsid w:val="00BC39CC"/>
    <w:rsid w:val="00BC48FA"/>
    <w:rsid w:val="00BF1A92"/>
    <w:rsid w:val="00C03FA0"/>
    <w:rsid w:val="00C1537B"/>
    <w:rsid w:val="00C15437"/>
    <w:rsid w:val="00C33586"/>
    <w:rsid w:val="00C3571A"/>
    <w:rsid w:val="00C373D9"/>
    <w:rsid w:val="00C404DD"/>
    <w:rsid w:val="00C42964"/>
    <w:rsid w:val="00C459A5"/>
    <w:rsid w:val="00C517DB"/>
    <w:rsid w:val="00C87BAC"/>
    <w:rsid w:val="00C93538"/>
    <w:rsid w:val="00C93FD2"/>
    <w:rsid w:val="00CA6DB6"/>
    <w:rsid w:val="00CB2671"/>
    <w:rsid w:val="00CB314F"/>
    <w:rsid w:val="00CC4FED"/>
    <w:rsid w:val="00CD4CB4"/>
    <w:rsid w:val="00CE10B2"/>
    <w:rsid w:val="00CE6D0E"/>
    <w:rsid w:val="00CF5107"/>
    <w:rsid w:val="00CF5D58"/>
    <w:rsid w:val="00D0299E"/>
    <w:rsid w:val="00D12E4E"/>
    <w:rsid w:val="00D17EF0"/>
    <w:rsid w:val="00D26EB8"/>
    <w:rsid w:val="00D362BD"/>
    <w:rsid w:val="00D51454"/>
    <w:rsid w:val="00D67C4F"/>
    <w:rsid w:val="00D7788C"/>
    <w:rsid w:val="00D802ED"/>
    <w:rsid w:val="00D92A73"/>
    <w:rsid w:val="00DA5BFA"/>
    <w:rsid w:val="00DA6ACE"/>
    <w:rsid w:val="00DC57EB"/>
    <w:rsid w:val="00DD0DE1"/>
    <w:rsid w:val="00DD6927"/>
    <w:rsid w:val="00DF103D"/>
    <w:rsid w:val="00DF197A"/>
    <w:rsid w:val="00DF44FC"/>
    <w:rsid w:val="00E021C5"/>
    <w:rsid w:val="00E072E1"/>
    <w:rsid w:val="00E10158"/>
    <w:rsid w:val="00E32296"/>
    <w:rsid w:val="00E32B13"/>
    <w:rsid w:val="00E448E6"/>
    <w:rsid w:val="00E44C0F"/>
    <w:rsid w:val="00E44D4B"/>
    <w:rsid w:val="00E46720"/>
    <w:rsid w:val="00E51202"/>
    <w:rsid w:val="00E53444"/>
    <w:rsid w:val="00E55B99"/>
    <w:rsid w:val="00E61C0A"/>
    <w:rsid w:val="00E852BF"/>
    <w:rsid w:val="00E95C47"/>
    <w:rsid w:val="00EA3826"/>
    <w:rsid w:val="00EB71D8"/>
    <w:rsid w:val="00ED11CE"/>
    <w:rsid w:val="00EF0982"/>
    <w:rsid w:val="00EF4CA2"/>
    <w:rsid w:val="00F04FFF"/>
    <w:rsid w:val="00F17F25"/>
    <w:rsid w:val="00F25775"/>
    <w:rsid w:val="00F37D20"/>
    <w:rsid w:val="00F4676B"/>
    <w:rsid w:val="00F61707"/>
    <w:rsid w:val="00F64EB5"/>
    <w:rsid w:val="00F73C3A"/>
    <w:rsid w:val="00F74190"/>
    <w:rsid w:val="00F85192"/>
    <w:rsid w:val="00F85B6C"/>
    <w:rsid w:val="00F96BEB"/>
    <w:rsid w:val="00FA15D7"/>
    <w:rsid w:val="00FB7491"/>
    <w:rsid w:val="00FC02A8"/>
    <w:rsid w:val="00FC3D73"/>
    <w:rsid w:val="00FD245A"/>
    <w:rsid w:val="00FD7477"/>
    <w:rsid w:val="00FF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11024FA4-B0CC-41E2-80FE-06F2413B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73"/>
    <w:pPr>
      <w:spacing w:after="180" w:line="240" w:lineRule="auto"/>
      <w:jc w:val="both"/>
    </w:pPr>
    <w:rPr>
      <w:sz w:val="20"/>
    </w:rPr>
  </w:style>
  <w:style w:type="paragraph" w:styleId="Heading1">
    <w:name w:val="heading 1"/>
    <w:basedOn w:val="Normal"/>
    <w:next w:val="Normal"/>
    <w:link w:val="Heading1Char"/>
    <w:autoRedefine/>
    <w:uiPriority w:val="9"/>
    <w:qFormat/>
    <w:rsid w:val="00854ED5"/>
    <w:pPr>
      <w:keepNext/>
      <w:keepLines/>
      <w:spacing w:before="120" w:after="0"/>
      <w:outlineLvl w:val="0"/>
    </w:pPr>
    <w:rPr>
      <w:rFonts w:ascii="Verdana" w:eastAsiaTheme="majorEastAsia" w:hAnsi="Verdana" w:cs="Arial"/>
      <w:b/>
      <w:bCs/>
      <w:color w:val="595959" w:themeColor="text1" w:themeTint="A6"/>
      <w:sz w:val="32"/>
      <w:szCs w:val="28"/>
    </w:rPr>
  </w:style>
  <w:style w:type="paragraph" w:styleId="Heading2">
    <w:name w:val="heading 2"/>
    <w:basedOn w:val="Normal"/>
    <w:next w:val="Normal"/>
    <w:link w:val="Heading2Char"/>
    <w:autoRedefine/>
    <w:uiPriority w:val="9"/>
    <w:unhideWhenUsed/>
    <w:qFormat/>
    <w:rsid w:val="0002758E"/>
    <w:pPr>
      <w:keepNext/>
      <w:keepLines/>
      <w:spacing w:before="200"/>
      <w:outlineLvl w:val="1"/>
    </w:pPr>
    <w:rPr>
      <w:rFonts w:ascii="Verdana" w:eastAsiaTheme="majorEastAsia" w:hAnsi="Verdana" w:cstheme="majorBidi"/>
      <w:b/>
      <w:bCs/>
      <w:color w:val="595959" w:themeColor="text1" w:themeTint="A6"/>
      <w:sz w:val="26"/>
      <w:szCs w:val="26"/>
    </w:rPr>
  </w:style>
  <w:style w:type="paragraph" w:styleId="Heading3">
    <w:name w:val="heading 3"/>
    <w:basedOn w:val="Normal"/>
    <w:next w:val="Normal"/>
    <w:link w:val="Heading3Char"/>
    <w:uiPriority w:val="9"/>
    <w:unhideWhenUsed/>
    <w:qFormat/>
    <w:rsid w:val="003E6D0C"/>
    <w:pPr>
      <w:keepNext/>
      <w:keepLines/>
      <w:spacing w:before="200" w:after="0"/>
      <w:outlineLvl w:val="2"/>
    </w:pPr>
    <w:rPr>
      <w:rFonts w:asciiTheme="majorHAnsi" w:eastAsiaTheme="majorEastAsia" w:hAnsiTheme="majorHAnsi" w:cstheme="majorBidi"/>
      <w:b/>
      <w:bCs/>
      <w:color w:val="1F497D" w:themeColor="text2"/>
      <w:sz w:val="22"/>
    </w:rPr>
  </w:style>
  <w:style w:type="paragraph" w:styleId="Heading4">
    <w:name w:val="heading 4"/>
    <w:basedOn w:val="Normal"/>
    <w:next w:val="Normal"/>
    <w:autoRedefine/>
    <w:uiPriority w:val="9"/>
    <w:unhideWhenUsed/>
    <w:qFormat/>
    <w:rsid w:val="00B3076A"/>
    <w:pPr>
      <w:keepNext/>
      <w:keepLines/>
      <w:spacing w:after="0"/>
      <w:outlineLvl w:val="3"/>
    </w:pPr>
    <w:rPr>
      <w:rFonts w:asciiTheme="majorHAnsi" w:eastAsiaTheme="majorEastAsia" w:hAnsiTheme="majorHAnsi" w:cstheme="majorBidi"/>
      <w:b/>
      <w:bCs/>
      <w:iCs/>
      <w:lang w:val="en-US"/>
    </w:rPr>
  </w:style>
  <w:style w:type="paragraph" w:styleId="Heading5">
    <w:name w:val="heading 5"/>
    <w:basedOn w:val="Normal"/>
    <w:next w:val="Normal"/>
    <w:autoRedefine/>
    <w:uiPriority w:val="9"/>
    <w:semiHidden/>
    <w:unhideWhenUsed/>
    <w:qFormat/>
    <w:rsid w:val="00B5075B"/>
    <w:pPr>
      <w:keepNext/>
      <w:keepLines/>
      <w:spacing w:before="200" w:after="0"/>
      <w:outlineLvl w:val="4"/>
    </w:pPr>
    <w:rPr>
      <w:rFonts w:asciiTheme="majorHAnsi" w:eastAsiaTheme="majorEastAsia" w:hAnsiTheme="majorHAnsi" w:cstheme="majorBidi"/>
      <w:b/>
      <w:color w:val="131431" w:themeColor="accent1" w:themeShade="7F"/>
    </w:rPr>
  </w:style>
  <w:style w:type="paragraph" w:styleId="Heading6">
    <w:name w:val="heading 6"/>
    <w:basedOn w:val="Normal"/>
    <w:next w:val="Normal"/>
    <w:uiPriority w:val="9"/>
    <w:semiHidden/>
    <w:unhideWhenUsed/>
    <w:qFormat/>
    <w:pPr>
      <w:keepNext/>
      <w:keepLines/>
      <w:spacing w:before="200" w:after="0"/>
      <w:outlineLvl w:val="5"/>
    </w:pPr>
    <w:rPr>
      <w:rFonts w:asciiTheme="majorHAnsi" w:eastAsiaTheme="majorEastAsia" w:hAnsiTheme="majorHAnsi" w:cstheme="majorBidi"/>
      <w:i/>
      <w:iCs/>
      <w:color w:val="1314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w:hAnsi="Arial" w:cs="Arial"/>
      <w:sz w:val="24"/>
      <w:lang w:eastAsia="en-GB"/>
    </w:rPr>
  </w:style>
  <w:style w:type="paragraph" w:styleId="FootnoteText">
    <w:name w:val="footnote text"/>
    <w:basedOn w:val="Normal"/>
    <w:semiHidden/>
    <w:rPr>
      <w:rFonts w:ascii="Univers 45 Light" w:hAnsi="Univers 45 Light"/>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ascii="Times New Roman" w:hAnsi="Times New Roman"/>
      <w:szCs w:val="20"/>
      <w:lang w:eastAsia="en-GB"/>
    </w:rPr>
  </w:style>
  <w:style w:type="character" w:customStyle="1" w:styleId="textbf">
    <w:name w:val="textbf"/>
    <w:rPr>
      <w:b/>
      <w:bCs/>
    </w:rPr>
  </w:style>
  <w:style w:type="paragraph" w:styleId="BodyText">
    <w:name w:val="Body Text"/>
    <w:basedOn w:val="Normal"/>
    <w:semiHidden/>
    <w:pPr>
      <w:autoSpaceDE w:val="0"/>
      <w:autoSpaceDN w:val="0"/>
      <w:adjustRightInd w:val="0"/>
    </w:pPr>
    <w:rPr>
      <w:color w:val="000000"/>
      <w:szCs w:val="20"/>
      <w:lang w:val="en-US"/>
    </w:rPr>
  </w:style>
  <w:style w:type="paragraph" w:styleId="ListBullet">
    <w:name w:val="List Bullet"/>
    <w:basedOn w:val="Normal"/>
    <w:rsid w:val="00A400E5"/>
    <w:pPr>
      <w:spacing w:before="120" w:after="120"/>
      <w:ind w:left="1135" w:hanging="284"/>
    </w:pPr>
    <w:rPr>
      <w:rFonts w:ascii="Times New Roman" w:hAnsi="Times New Roman"/>
      <w:szCs w:val="20"/>
    </w:rPr>
  </w:style>
  <w:style w:type="character" w:customStyle="1" w:styleId="Heading1Char">
    <w:name w:val="Heading 1 Char"/>
    <w:basedOn w:val="DefaultParagraphFont"/>
    <w:link w:val="Heading1"/>
    <w:uiPriority w:val="9"/>
    <w:rsid w:val="00854ED5"/>
    <w:rPr>
      <w:rFonts w:ascii="Verdana" w:eastAsiaTheme="majorEastAsia" w:hAnsi="Verdana" w:cs="Arial"/>
      <w:b/>
      <w:bCs/>
      <w:color w:val="595959" w:themeColor="text1" w:themeTint="A6"/>
      <w:sz w:val="32"/>
      <w:szCs w:val="28"/>
    </w:rPr>
  </w:style>
  <w:style w:type="character" w:customStyle="1" w:styleId="Heading2Char">
    <w:name w:val="Heading 2 Char"/>
    <w:basedOn w:val="DefaultParagraphFont"/>
    <w:link w:val="Heading2"/>
    <w:uiPriority w:val="9"/>
    <w:rsid w:val="0002758E"/>
    <w:rPr>
      <w:rFonts w:ascii="Verdana" w:eastAsiaTheme="majorEastAsia" w:hAnsi="Verdana" w:cstheme="majorBidi"/>
      <w:b/>
      <w:bCs/>
      <w:color w:val="595959" w:themeColor="text1" w:themeTint="A6"/>
      <w:sz w:val="26"/>
      <w:szCs w:val="26"/>
    </w:rPr>
  </w:style>
  <w:style w:type="character" w:customStyle="1" w:styleId="Heading3Char">
    <w:name w:val="Heading 3 Char"/>
    <w:basedOn w:val="DefaultParagraphFont"/>
    <w:link w:val="Heading3"/>
    <w:uiPriority w:val="9"/>
    <w:rsid w:val="003E6D0C"/>
    <w:rPr>
      <w:rFonts w:asciiTheme="majorHAnsi" w:eastAsiaTheme="majorEastAsia" w:hAnsiTheme="majorHAnsi" w:cstheme="majorBidi"/>
      <w:b/>
      <w:bCs/>
      <w:color w:val="1F497D" w:themeColor="text2"/>
    </w:rPr>
  </w:style>
  <w:style w:type="paragraph" w:styleId="TOC1">
    <w:name w:val="toc 1"/>
    <w:basedOn w:val="Normal"/>
    <w:next w:val="Normal"/>
    <w:autoRedefine/>
    <w:uiPriority w:val="39"/>
    <w:unhideWhenUsed/>
    <w:qFormat/>
    <w:rsid w:val="00E51202"/>
    <w:pPr>
      <w:tabs>
        <w:tab w:val="right" w:pos="9072"/>
        <w:tab w:val="right" w:leader="dot" w:pos="14884"/>
      </w:tabs>
      <w:spacing w:before="240" w:after="100"/>
    </w:pPr>
    <w:rPr>
      <w:rFonts w:eastAsiaTheme="minorEastAsia"/>
      <w:b/>
      <w:noProof/>
      <w:lang w:val="en-US" w:eastAsia="ja-JP"/>
    </w:rPr>
  </w:style>
  <w:style w:type="paragraph" w:styleId="TOC2">
    <w:name w:val="toc 2"/>
    <w:basedOn w:val="Normal"/>
    <w:next w:val="Normal"/>
    <w:autoRedefine/>
    <w:uiPriority w:val="39"/>
    <w:unhideWhenUsed/>
    <w:qFormat/>
    <w:rsid w:val="001C7FBB"/>
    <w:pPr>
      <w:tabs>
        <w:tab w:val="right" w:leader="dot" w:pos="14884"/>
      </w:tabs>
      <w:spacing w:after="100"/>
      <w:ind w:left="709" w:hanging="426"/>
    </w:pPr>
    <w:rPr>
      <w:rFonts w:eastAsiaTheme="minorEastAsia"/>
      <w:lang w:val="en-US" w:eastAsia="ja-JP"/>
    </w:rPr>
  </w:style>
  <w:style w:type="paragraph" w:styleId="TOC3">
    <w:name w:val="toc 3"/>
    <w:basedOn w:val="Normal"/>
    <w:next w:val="Normal"/>
    <w:autoRedefine/>
    <w:uiPriority w:val="39"/>
    <w:unhideWhenUsed/>
    <w:qFormat/>
    <w:rsid w:val="001C7FBB"/>
    <w:pPr>
      <w:tabs>
        <w:tab w:val="right" w:leader="dot" w:pos="14902"/>
      </w:tabs>
      <w:spacing w:after="100"/>
      <w:ind w:left="851"/>
    </w:pPr>
    <w:rPr>
      <w:rFonts w:eastAsiaTheme="minorEastAsia"/>
      <w:lang w:val="en-US" w:eastAsia="ja-JP"/>
    </w:rPr>
  </w:style>
  <w:style w:type="paragraph" w:styleId="ListParagraph">
    <w:name w:val="List Paragraph"/>
    <w:basedOn w:val="Normal"/>
    <w:uiPriority w:val="34"/>
    <w:qFormat/>
    <w:rsid w:val="00E46720"/>
    <w:pPr>
      <w:spacing w:after="240"/>
      <w:ind w:left="720"/>
      <w:contextualSpacing/>
    </w:pPr>
  </w:style>
  <w:style w:type="paragraph" w:styleId="TOCHeading">
    <w:name w:val="TOC Heading"/>
    <w:basedOn w:val="Heading1"/>
    <w:next w:val="Normal"/>
    <w:uiPriority w:val="39"/>
    <w:unhideWhenUsed/>
    <w:qFormat/>
    <w:rsid w:val="001C7FBB"/>
    <w:pPr>
      <w:outlineLvl w:val="9"/>
    </w:pPr>
    <w:rPr>
      <w:color w:val="000000" w:themeColor="text1"/>
      <w:sz w:val="28"/>
      <w:lang w:val="en-US" w:eastAsia="ja-JP"/>
      <w14:textFill>
        <w14:solidFill>
          <w14:schemeClr w14:val="tx1">
            <w14:lumMod w14:val="75000"/>
            <w14:lumOff w14:val="25000"/>
            <w14:lumMod w14:val="65000"/>
            <w14:lumOff w14:val="35000"/>
          </w14:schemeClr>
        </w14:solidFill>
      </w14:textFill>
    </w:rPr>
  </w:style>
  <w:style w:type="paragraph" w:styleId="Title">
    <w:name w:val="Title"/>
    <w:basedOn w:val="Normal"/>
    <w:next w:val="Normal"/>
    <w:link w:val="TitleChar"/>
    <w:uiPriority w:val="10"/>
    <w:qFormat/>
    <w:rsid w:val="001C7FBB"/>
    <w:pPr>
      <w:pBdr>
        <w:bottom w:val="single" w:sz="8" w:space="4" w:color="262964"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7FB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C7FBB"/>
    <w:pPr>
      <w:tabs>
        <w:tab w:val="center" w:pos="4513"/>
        <w:tab w:val="right" w:pos="9026"/>
      </w:tabs>
      <w:spacing w:after="0"/>
    </w:pPr>
  </w:style>
  <w:style w:type="character" w:customStyle="1" w:styleId="HeaderChar">
    <w:name w:val="Header Char"/>
    <w:basedOn w:val="DefaultParagraphFont"/>
    <w:link w:val="Header"/>
    <w:uiPriority w:val="99"/>
    <w:rsid w:val="001C7FBB"/>
    <w:rPr>
      <w:sz w:val="20"/>
    </w:rPr>
  </w:style>
  <w:style w:type="paragraph" w:styleId="Footer">
    <w:name w:val="footer"/>
    <w:basedOn w:val="Normal"/>
    <w:link w:val="FooterChar"/>
    <w:uiPriority w:val="99"/>
    <w:unhideWhenUsed/>
    <w:rsid w:val="001C7FBB"/>
    <w:pPr>
      <w:tabs>
        <w:tab w:val="center" w:pos="4513"/>
        <w:tab w:val="right" w:pos="9026"/>
      </w:tabs>
      <w:spacing w:after="0"/>
    </w:pPr>
  </w:style>
  <w:style w:type="character" w:customStyle="1" w:styleId="FooterChar">
    <w:name w:val="Footer Char"/>
    <w:basedOn w:val="DefaultParagraphFont"/>
    <w:link w:val="Footer"/>
    <w:uiPriority w:val="99"/>
    <w:rsid w:val="001C7FBB"/>
    <w:rPr>
      <w:sz w:val="20"/>
    </w:rPr>
  </w:style>
  <w:style w:type="paragraph" w:styleId="BalloonText">
    <w:name w:val="Balloon Text"/>
    <w:basedOn w:val="Normal"/>
    <w:link w:val="BalloonTextChar"/>
    <w:uiPriority w:val="99"/>
    <w:semiHidden/>
    <w:unhideWhenUsed/>
    <w:rsid w:val="001C7F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FBB"/>
    <w:rPr>
      <w:rFonts w:ascii="Tahoma" w:hAnsi="Tahoma" w:cs="Tahoma"/>
      <w:sz w:val="16"/>
      <w:szCs w:val="16"/>
    </w:rPr>
  </w:style>
  <w:style w:type="table" w:styleId="TableGrid">
    <w:name w:val="Table Grid"/>
    <w:basedOn w:val="TableNormal"/>
    <w:uiPriority w:val="59"/>
    <w:rsid w:val="00E32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A6ACE"/>
    <w:rPr>
      <w:rFonts w:asciiTheme="minorHAnsi" w:hAnsiTheme="minorHAnsi"/>
      <w:b/>
      <w:bCs/>
      <w:lang w:eastAsia="en-US"/>
    </w:rPr>
  </w:style>
  <w:style w:type="character" w:customStyle="1" w:styleId="CommentTextChar">
    <w:name w:val="Comment Text Char"/>
    <w:basedOn w:val="DefaultParagraphFont"/>
    <w:link w:val="CommentText"/>
    <w:semiHidden/>
    <w:rsid w:val="00DA6ACE"/>
    <w:rPr>
      <w:rFonts w:ascii="Times New Roman" w:hAnsi="Times New Roman"/>
      <w:sz w:val="20"/>
      <w:szCs w:val="20"/>
      <w:lang w:eastAsia="en-GB"/>
    </w:rPr>
  </w:style>
  <w:style w:type="character" w:customStyle="1" w:styleId="CommentSubjectChar">
    <w:name w:val="Comment Subject Char"/>
    <w:basedOn w:val="CommentTextChar"/>
    <w:link w:val="CommentSubject"/>
    <w:uiPriority w:val="99"/>
    <w:semiHidden/>
    <w:rsid w:val="00DA6ACE"/>
    <w:rPr>
      <w:rFonts w:ascii="Times New Roman" w:hAnsi="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1360">
      <w:bodyDiv w:val="1"/>
      <w:marLeft w:val="0"/>
      <w:marRight w:val="0"/>
      <w:marTop w:val="0"/>
      <w:marBottom w:val="0"/>
      <w:divBdr>
        <w:top w:val="none" w:sz="0" w:space="0" w:color="auto"/>
        <w:left w:val="none" w:sz="0" w:space="0" w:color="auto"/>
        <w:bottom w:val="none" w:sz="0" w:space="0" w:color="auto"/>
        <w:right w:val="none" w:sz="0" w:space="0" w:color="auto"/>
      </w:divBdr>
    </w:div>
    <w:div w:id="211576556">
      <w:bodyDiv w:val="1"/>
      <w:marLeft w:val="0"/>
      <w:marRight w:val="0"/>
      <w:marTop w:val="0"/>
      <w:marBottom w:val="0"/>
      <w:divBdr>
        <w:top w:val="none" w:sz="0" w:space="0" w:color="auto"/>
        <w:left w:val="none" w:sz="0" w:space="0" w:color="auto"/>
        <w:bottom w:val="none" w:sz="0" w:space="0" w:color="auto"/>
        <w:right w:val="none" w:sz="0" w:space="0" w:color="auto"/>
      </w:divBdr>
    </w:div>
    <w:div w:id="464203978">
      <w:bodyDiv w:val="1"/>
      <w:marLeft w:val="0"/>
      <w:marRight w:val="0"/>
      <w:marTop w:val="0"/>
      <w:marBottom w:val="0"/>
      <w:divBdr>
        <w:top w:val="none" w:sz="0" w:space="0" w:color="auto"/>
        <w:left w:val="none" w:sz="0" w:space="0" w:color="auto"/>
        <w:bottom w:val="none" w:sz="0" w:space="0" w:color="auto"/>
        <w:right w:val="none" w:sz="0" w:space="0" w:color="auto"/>
      </w:divBdr>
    </w:div>
    <w:div w:id="488327745">
      <w:bodyDiv w:val="1"/>
      <w:marLeft w:val="0"/>
      <w:marRight w:val="0"/>
      <w:marTop w:val="0"/>
      <w:marBottom w:val="0"/>
      <w:divBdr>
        <w:top w:val="none" w:sz="0" w:space="0" w:color="auto"/>
        <w:left w:val="none" w:sz="0" w:space="0" w:color="auto"/>
        <w:bottom w:val="none" w:sz="0" w:space="0" w:color="auto"/>
        <w:right w:val="none" w:sz="0" w:space="0" w:color="auto"/>
      </w:divBdr>
    </w:div>
    <w:div w:id="573047363">
      <w:bodyDiv w:val="1"/>
      <w:marLeft w:val="0"/>
      <w:marRight w:val="0"/>
      <w:marTop w:val="0"/>
      <w:marBottom w:val="0"/>
      <w:divBdr>
        <w:top w:val="none" w:sz="0" w:space="0" w:color="auto"/>
        <w:left w:val="none" w:sz="0" w:space="0" w:color="auto"/>
        <w:bottom w:val="none" w:sz="0" w:space="0" w:color="auto"/>
        <w:right w:val="none" w:sz="0" w:space="0" w:color="auto"/>
      </w:divBdr>
    </w:div>
    <w:div w:id="685250945">
      <w:bodyDiv w:val="1"/>
      <w:marLeft w:val="0"/>
      <w:marRight w:val="0"/>
      <w:marTop w:val="0"/>
      <w:marBottom w:val="0"/>
      <w:divBdr>
        <w:top w:val="none" w:sz="0" w:space="0" w:color="auto"/>
        <w:left w:val="none" w:sz="0" w:space="0" w:color="auto"/>
        <w:bottom w:val="none" w:sz="0" w:space="0" w:color="auto"/>
        <w:right w:val="none" w:sz="0" w:space="0" w:color="auto"/>
      </w:divBdr>
    </w:div>
    <w:div w:id="807822673">
      <w:bodyDiv w:val="1"/>
      <w:marLeft w:val="0"/>
      <w:marRight w:val="0"/>
      <w:marTop w:val="0"/>
      <w:marBottom w:val="0"/>
      <w:divBdr>
        <w:top w:val="none" w:sz="0" w:space="0" w:color="auto"/>
        <w:left w:val="none" w:sz="0" w:space="0" w:color="auto"/>
        <w:bottom w:val="none" w:sz="0" w:space="0" w:color="auto"/>
        <w:right w:val="none" w:sz="0" w:space="0" w:color="auto"/>
      </w:divBdr>
    </w:div>
    <w:div w:id="1230917061">
      <w:bodyDiv w:val="1"/>
      <w:marLeft w:val="0"/>
      <w:marRight w:val="0"/>
      <w:marTop w:val="0"/>
      <w:marBottom w:val="0"/>
      <w:divBdr>
        <w:top w:val="none" w:sz="0" w:space="0" w:color="auto"/>
        <w:left w:val="none" w:sz="0" w:space="0" w:color="auto"/>
        <w:bottom w:val="none" w:sz="0" w:space="0" w:color="auto"/>
        <w:right w:val="none" w:sz="0" w:space="0" w:color="auto"/>
      </w:divBdr>
    </w:div>
    <w:div w:id="1613514294">
      <w:bodyDiv w:val="1"/>
      <w:marLeft w:val="0"/>
      <w:marRight w:val="0"/>
      <w:marTop w:val="0"/>
      <w:marBottom w:val="0"/>
      <w:divBdr>
        <w:top w:val="none" w:sz="0" w:space="0" w:color="auto"/>
        <w:left w:val="none" w:sz="0" w:space="0" w:color="auto"/>
        <w:bottom w:val="none" w:sz="0" w:space="0" w:color="auto"/>
        <w:right w:val="none" w:sz="0" w:space="0" w:color="auto"/>
      </w:divBdr>
    </w:div>
    <w:div w:id="1675641504">
      <w:bodyDiv w:val="1"/>
      <w:marLeft w:val="0"/>
      <w:marRight w:val="0"/>
      <w:marTop w:val="0"/>
      <w:marBottom w:val="0"/>
      <w:divBdr>
        <w:top w:val="none" w:sz="0" w:space="0" w:color="auto"/>
        <w:left w:val="none" w:sz="0" w:space="0" w:color="auto"/>
        <w:bottom w:val="none" w:sz="0" w:space="0" w:color="auto"/>
        <w:right w:val="none" w:sz="0" w:space="0" w:color="auto"/>
      </w:divBdr>
    </w:div>
    <w:div w:id="1734233040">
      <w:bodyDiv w:val="1"/>
      <w:marLeft w:val="0"/>
      <w:marRight w:val="0"/>
      <w:marTop w:val="0"/>
      <w:marBottom w:val="0"/>
      <w:divBdr>
        <w:top w:val="none" w:sz="0" w:space="0" w:color="auto"/>
        <w:left w:val="none" w:sz="0" w:space="0" w:color="auto"/>
        <w:bottom w:val="none" w:sz="0" w:space="0" w:color="auto"/>
        <w:right w:val="none" w:sz="0" w:space="0" w:color="auto"/>
      </w:divBdr>
    </w:div>
    <w:div w:id="1748570308">
      <w:bodyDiv w:val="1"/>
      <w:marLeft w:val="0"/>
      <w:marRight w:val="0"/>
      <w:marTop w:val="0"/>
      <w:marBottom w:val="0"/>
      <w:divBdr>
        <w:top w:val="none" w:sz="0" w:space="0" w:color="auto"/>
        <w:left w:val="none" w:sz="0" w:space="0" w:color="auto"/>
        <w:bottom w:val="none" w:sz="0" w:space="0" w:color="auto"/>
        <w:right w:val="none" w:sz="0" w:space="0" w:color="auto"/>
      </w:divBdr>
    </w:div>
    <w:div w:id="182396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enterprise/policies/sme/files/sme_definition/sme_user_guide_en.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umbriachamber.co.uk" TargetMode="External"/><Relationship Id="rId17" Type="http://schemas.openxmlformats.org/officeDocument/2006/relationships/hyperlink" Target="http://ec.europa.eu/competition/state_aid/legislation/reference_rates.html" TargetMode="External"/><Relationship Id="rId2" Type="http://schemas.openxmlformats.org/officeDocument/2006/relationships/numbering" Target="numbering.xml"/><Relationship Id="rId16" Type="http://schemas.openxmlformats.org/officeDocument/2006/relationships/hyperlink" Target="http://ec.europea.eu/enterprise/policies/sme/files/sme_definition/sme_user_guide_en.pdf" TargetMode="External"/><Relationship Id="rId20" Type="http://schemas.openxmlformats.org/officeDocument/2006/relationships/hyperlink" Target="http://eur-lex.europa.eu/legal-content/EN/TXT/PDF/?uri=CELEX:32006R1893&amp;fr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kassistedareasmap.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ec.europa.eu/enterprise/policies/sme/files/sme_definition/sme_user_guide_e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kassistedareasmap.com/" TargetMode="External"/><Relationship Id="rId22" Type="http://schemas.openxmlformats.org/officeDocument/2006/relationships/hyperlink" Target="http://www.ukassistedareasmap.com/" TargetMode="External"/></Relationships>
</file>

<file path=word/theme/theme1.xml><?xml version="1.0" encoding="utf-8"?>
<a:theme xmlns:a="http://schemas.openxmlformats.org/drawingml/2006/main" name="Office Theme">
  <a:themeElements>
    <a:clrScheme name="UNW LLP">
      <a:dk1>
        <a:sysClr val="windowText" lastClr="000000"/>
      </a:dk1>
      <a:lt1>
        <a:sysClr val="window" lastClr="FFFFFF"/>
      </a:lt1>
      <a:dk2>
        <a:srgbClr val="1F497D"/>
      </a:dk2>
      <a:lt2>
        <a:srgbClr val="EEECE1"/>
      </a:lt2>
      <a:accent1>
        <a:srgbClr val="262964"/>
      </a:accent1>
      <a:accent2>
        <a:srgbClr val="DDA311"/>
      </a:accent2>
      <a:accent3>
        <a:srgbClr val="5AA04E"/>
      </a:accent3>
      <a:accent4>
        <a:srgbClr val="E25A24"/>
      </a:accent4>
      <a:accent5>
        <a:srgbClr val="4BACC6"/>
      </a:accent5>
      <a:accent6>
        <a:srgbClr val="C0504D"/>
      </a:accent6>
      <a:hlink>
        <a:srgbClr val="0000FF"/>
      </a:hlink>
      <a:folHlink>
        <a:srgbClr val="000000"/>
      </a:folHlink>
    </a:clrScheme>
    <a:fontScheme name="UN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24E52-87C3-4D38-A259-2F0C60B9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11749</Words>
  <Characters>66972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NORTH EAST BUSINESS GROWTH FUND</vt:lpstr>
    </vt:vector>
  </TitlesOfParts>
  <Company>HP</Company>
  <LinksUpToDate>false</LinksUpToDate>
  <CharactersWithSpaces>78564</CharactersWithSpaces>
  <SharedDoc>false</SharedDoc>
  <HLinks>
    <vt:vector size="36" baseType="variant">
      <vt:variant>
        <vt:i4>655431</vt:i4>
      </vt:variant>
      <vt:variant>
        <vt:i4>15</vt:i4>
      </vt:variant>
      <vt:variant>
        <vt:i4>0</vt:i4>
      </vt:variant>
      <vt:variant>
        <vt:i4>5</vt:i4>
      </vt:variant>
      <vt:variant>
        <vt:lpwstr>http://www.nomisweb.co.uk/reports/lmp/ward/contents.aspx</vt:lpwstr>
      </vt:variant>
      <vt:variant>
        <vt:lpwstr/>
      </vt:variant>
      <vt:variant>
        <vt:i4>5046353</vt:i4>
      </vt:variant>
      <vt:variant>
        <vt:i4>12</vt:i4>
      </vt:variant>
      <vt:variant>
        <vt:i4>0</vt:i4>
      </vt:variant>
      <vt:variant>
        <vt:i4>5</vt:i4>
      </vt:variant>
      <vt:variant>
        <vt:lpwstr>http://ec.europa.eu/enterprise/policies/sme/files/sme_definition/sme_user_guide_en.pdf</vt:lpwstr>
      </vt:variant>
      <vt:variant>
        <vt:lpwstr/>
      </vt:variant>
      <vt:variant>
        <vt:i4>1179742</vt:i4>
      </vt:variant>
      <vt:variant>
        <vt:i4>9</vt:i4>
      </vt:variant>
      <vt:variant>
        <vt:i4>0</vt:i4>
      </vt:variant>
      <vt:variant>
        <vt:i4>5</vt:i4>
      </vt:variant>
      <vt:variant>
        <vt:lpwstr>http://www.foi.gov.uk/practitioner/index.htm</vt:lpwstr>
      </vt:variant>
      <vt:variant>
        <vt:lpwstr/>
      </vt:variant>
      <vt:variant>
        <vt:i4>2621474</vt:i4>
      </vt:variant>
      <vt:variant>
        <vt:i4>6</vt:i4>
      </vt:variant>
      <vt:variant>
        <vt:i4>0</vt:i4>
      </vt:variant>
      <vt:variant>
        <vt:i4>5</vt:i4>
      </vt:variant>
      <vt:variant>
        <vt:lpwstr>http://ec.europa.eu/competition/state_aid/legislation/reference_rates.html</vt:lpwstr>
      </vt:variant>
      <vt:variant>
        <vt:lpwstr/>
      </vt:variant>
      <vt:variant>
        <vt:i4>851982</vt:i4>
      </vt:variant>
      <vt:variant>
        <vt:i4>3</vt:i4>
      </vt:variant>
      <vt:variant>
        <vt:i4>0</vt:i4>
      </vt:variant>
      <vt:variant>
        <vt:i4>5</vt:i4>
      </vt:variant>
      <vt:variant>
        <vt:lpwstr>http://www.gazettelive.co.uk/</vt:lpwstr>
      </vt:variant>
      <vt:variant>
        <vt:lpwstr/>
      </vt:variant>
      <vt:variant>
        <vt:i4>5373977</vt:i4>
      </vt:variant>
      <vt:variant>
        <vt:i4>0</vt:i4>
      </vt:variant>
      <vt:variant>
        <vt:i4>0</vt:i4>
      </vt:variant>
      <vt:variant>
        <vt:i4>5</vt:i4>
      </vt:variant>
      <vt:variant>
        <vt:lpwstr>http://www.nebusiness.co.uk/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BUSINESS GROWTH FUND</dc:title>
  <dc:creator>home</dc:creator>
  <cp:lastModifiedBy>Suzanne Caldwell</cp:lastModifiedBy>
  <cp:revision>2</cp:revision>
  <cp:lastPrinted>2015-06-12T12:32:00Z</cp:lastPrinted>
  <dcterms:created xsi:type="dcterms:W3CDTF">2015-06-12T12:53:00Z</dcterms:created>
  <dcterms:modified xsi:type="dcterms:W3CDTF">2015-06-12T12:53:00Z</dcterms:modified>
</cp:coreProperties>
</file>